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57" w:rsidRDefault="00D64165" w:rsidP="00C80BD0">
      <w:pPr>
        <w:autoSpaceDE w:val="0"/>
        <w:autoSpaceDN w:val="0"/>
        <w:adjustRightInd w:val="0"/>
        <w:spacing w:line="192" w:lineRule="auto"/>
        <w:ind w:right="480"/>
        <w:rPr>
          <w:sz w:val="24"/>
          <w:lang w:eastAsia="uk-UA"/>
        </w:rPr>
      </w:pPr>
      <w:bookmarkStart w:id="0" w:name="_GoBack"/>
      <w:bookmarkEnd w:id="0"/>
      <w:r>
        <w:rPr>
          <w:sz w:val="24"/>
          <w:lang w:eastAsia="uk-UA"/>
        </w:rPr>
        <w:t xml:space="preserve">                         </w:t>
      </w:r>
    </w:p>
    <w:p w:rsidR="00D64165" w:rsidRPr="004911A7" w:rsidRDefault="00D64165" w:rsidP="00D64165">
      <w:pPr>
        <w:autoSpaceDE w:val="0"/>
        <w:autoSpaceDN w:val="0"/>
        <w:adjustRightInd w:val="0"/>
        <w:spacing w:line="192" w:lineRule="auto"/>
        <w:ind w:left="4747"/>
        <w:jc w:val="right"/>
        <w:rPr>
          <w:sz w:val="24"/>
          <w:lang w:eastAsia="uk-UA"/>
        </w:rPr>
      </w:pPr>
    </w:p>
    <w:p w:rsidR="00CB0FFD" w:rsidRPr="00CE1698" w:rsidRDefault="00CB0FFD" w:rsidP="00CB0FFD">
      <w:pPr>
        <w:tabs>
          <w:tab w:val="left" w:pos="14601"/>
        </w:tabs>
        <w:autoSpaceDE w:val="0"/>
        <w:autoSpaceDN w:val="0"/>
        <w:adjustRightInd w:val="0"/>
        <w:ind w:left="10620" w:right="484"/>
        <w:rPr>
          <w:sz w:val="28"/>
          <w:szCs w:val="28"/>
          <w:lang w:eastAsia="uk-UA"/>
        </w:rPr>
      </w:pPr>
      <w:r w:rsidRPr="00CE1698">
        <w:rPr>
          <w:sz w:val="28"/>
          <w:szCs w:val="28"/>
          <w:lang w:eastAsia="uk-UA"/>
        </w:rPr>
        <w:t>Додаток 3</w:t>
      </w:r>
    </w:p>
    <w:p w:rsidR="00CB0FFD" w:rsidRPr="00CE1698" w:rsidRDefault="00CB0FFD" w:rsidP="00CB0FFD">
      <w:pPr>
        <w:tabs>
          <w:tab w:val="left" w:pos="14601"/>
        </w:tabs>
        <w:autoSpaceDE w:val="0"/>
        <w:autoSpaceDN w:val="0"/>
        <w:adjustRightInd w:val="0"/>
        <w:ind w:left="10620" w:right="484"/>
        <w:rPr>
          <w:sz w:val="28"/>
          <w:szCs w:val="28"/>
          <w:lang w:eastAsia="uk-UA"/>
        </w:rPr>
      </w:pPr>
      <w:r w:rsidRPr="00CE1698">
        <w:rPr>
          <w:sz w:val="28"/>
          <w:szCs w:val="28"/>
          <w:lang w:eastAsia="uk-UA"/>
        </w:rPr>
        <w:t>до Програми</w:t>
      </w:r>
    </w:p>
    <w:p w:rsidR="00CB0FFD" w:rsidRPr="00CE1698" w:rsidRDefault="00CB0FFD" w:rsidP="00CB0FFD">
      <w:pPr>
        <w:tabs>
          <w:tab w:val="left" w:pos="14601"/>
        </w:tabs>
        <w:autoSpaceDE w:val="0"/>
        <w:autoSpaceDN w:val="0"/>
        <w:adjustRightInd w:val="0"/>
        <w:ind w:left="10620" w:right="484"/>
        <w:rPr>
          <w:sz w:val="28"/>
          <w:szCs w:val="28"/>
          <w:lang w:eastAsia="uk-UA"/>
        </w:rPr>
      </w:pPr>
      <w:r w:rsidRPr="00CE1698">
        <w:rPr>
          <w:sz w:val="28"/>
          <w:szCs w:val="28"/>
          <w:lang w:eastAsia="uk-UA"/>
        </w:rPr>
        <w:t>покращення якості надання</w:t>
      </w:r>
    </w:p>
    <w:p w:rsidR="00CB0FFD" w:rsidRPr="00CE1698" w:rsidRDefault="00CB0FFD" w:rsidP="00CB0FFD">
      <w:pPr>
        <w:tabs>
          <w:tab w:val="left" w:pos="14601"/>
        </w:tabs>
        <w:autoSpaceDE w:val="0"/>
        <w:autoSpaceDN w:val="0"/>
        <w:adjustRightInd w:val="0"/>
        <w:ind w:left="10620" w:right="484"/>
        <w:rPr>
          <w:b/>
          <w:sz w:val="28"/>
          <w:szCs w:val="28"/>
          <w:lang w:eastAsia="uk-UA"/>
        </w:rPr>
      </w:pPr>
      <w:r w:rsidRPr="00CE1698">
        <w:rPr>
          <w:sz w:val="28"/>
          <w:szCs w:val="28"/>
          <w:lang w:eastAsia="uk-UA"/>
        </w:rPr>
        <w:t>публічних послуг органами</w:t>
      </w:r>
    </w:p>
    <w:p w:rsidR="00CB0FFD" w:rsidRPr="00CE1698" w:rsidRDefault="00CB0FFD" w:rsidP="00171107">
      <w:pPr>
        <w:tabs>
          <w:tab w:val="left" w:pos="14601"/>
        </w:tabs>
        <w:autoSpaceDE w:val="0"/>
        <w:autoSpaceDN w:val="0"/>
        <w:adjustRightInd w:val="0"/>
        <w:ind w:left="10620" w:right="484"/>
        <w:rPr>
          <w:sz w:val="28"/>
          <w:szCs w:val="28"/>
          <w:lang w:eastAsia="uk-UA"/>
        </w:rPr>
      </w:pPr>
      <w:r w:rsidRPr="00CE1698">
        <w:rPr>
          <w:sz w:val="28"/>
          <w:szCs w:val="28"/>
          <w:lang w:eastAsia="uk-UA"/>
        </w:rPr>
        <w:t>виконавчої влади на 202</w:t>
      </w:r>
      <w:r w:rsidR="00171107" w:rsidRPr="00CE1698">
        <w:rPr>
          <w:sz w:val="28"/>
          <w:szCs w:val="28"/>
          <w:lang w:eastAsia="uk-UA"/>
        </w:rPr>
        <w:t>3</w:t>
      </w:r>
      <w:r w:rsidRPr="00CE1698">
        <w:rPr>
          <w:sz w:val="28"/>
          <w:szCs w:val="28"/>
          <w:lang w:eastAsia="uk-UA"/>
        </w:rPr>
        <w:t xml:space="preserve"> рік</w:t>
      </w:r>
    </w:p>
    <w:p w:rsidR="00E370D6" w:rsidRPr="00CE1698" w:rsidRDefault="00E370D6" w:rsidP="00CB0FFD">
      <w:pPr>
        <w:autoSpaceDE w:val="0"/>
        <w:autoSpaceDN w:val="0"/>
        <w:adjustRightInd w:val="0"/>
        <w:spacing w:line="192" w:lineRule="auto"/>
        <w:ind w:left="4747" w:right="480"/>
        <w:jc w:val="right"/>
        <w:rPr>
          <w:sz w:val="24"/>
          <w:lang w:eastAsia="uk-UA"/>
        </w:rPr>
      </w:pPr>
    </w:p>
    <w:p w:rsidR="000C545A" w:rsidRPr="00CE1698" w:rsidRDefault="000C545A" w:rsidP="00103EEF">
      <w:pPr>
        <w:autoSpaceDE w:val="0"/>
        <w:autoSpaceDN w:val="0"/>
        <w:adjustRightInd w:val="0"/>
        <w:jc w:val="center"/>
        <w:rPr>
          <w:b/>
          <w:sz w:val="32"/>
          <w:szCs w:val="32"/>
          <w:lang w:eastAsia="uk-UA"/>
        </w:rPr>
      </w:pPr>
    </w:p>
    <w:p w:rsidR="00103EEF" w:rsidRPr="00CE1698" w:rsidRDefault="00103EEF" w:rsidP="00103EE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CE1698">
        <w:rPr>
          <w:b/>
          <w:sz w:val="28"/>
          <w:szCs w:val="28"/>
          <w:lang w:eastAsia="uk-UA"/>
        </w:rPr>
        <w:t xml:space="preserve">Перелік завдань, заходів і показників </w:t>
      </w:r>
    </w:p>
    <w:p w:rsidR="000159BB" w:rsidRPr="00CE1698" w:rsidRDefault="00103EEF" w:rsidP="000159BB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CE1698">
        <w:rPr>
          <w:b/>
          <w:sz w:val="28"/>
          <w:szCs w:val="28"/>
          <w:lang w:eastAsia="uk-UA"/>
        </w:rPr>
        <w:t xml:space="preserve">Програми </w:t>
      </w:r>
      <w:r w:rsidR="000159BB" w:rsidRPr="00CE1698">
        <w:rPr>
          <w:b/>
          <w:sz w:val="28"/>
          <w:szCs w:val="28"/>
          <w:lang w:eastAsia="uk-UA"/>
        </w:rPr>
        <w:t xml:space="preserve">покращення якості надання публічних послуг </w:t>
      </w:r>
    </w:p>
    <w:p w:rsidR="00103EEF" w:rsidRDefault="000159BB" w:rsidP="0017110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CE1698">
        <w:rPr>
          <w:b/>
          <w:sz w:val="28"/>
          <w:szCs w:val="28"/>
          <w:lang w:eastAsia="uk-UA"/>
        </w:rPr>
        <w:t>органами виконавчої влади на 202</w:t>
      </w:r>
      <w:r w:rsidR="00171107" w:rsidRPr="00CE1698">
        <w:rPr>
          <w:b/>
          <w:sz w:val="28"/>
          <w:szCs w:val="28"/>
          <w:lang w:eastAsia="uk-UA"/>
        </w:rPr>
        <w:t>3</w:t>
      </w:r>
      <w:r w:rsidRPr="00CE1698">
        <w:rPr>
          <w:b/>
          <w:sz w:val="28"/>
          <w:szCs w:val="28"/>
          <w:lang w:eastAsia="uk-UA"/>
        </w:rPr>
        <w:t xml:space="preserve"> р</w:t>
      </w:r>
      <w:r w:rsidR="00BE11AB" w:rsidRPr="00CE1698">
        <w:rPr>
          <w:b/>
          <w:sz w:val="28"/>
          <w:szCs w:val="28"/>
          <w:lang w:eastAsia="uk-UA"/>
        </w:rPr>
        <w:t>і</w:t>
      </w:r>
      <w:r w:rsidRPr="00CE1698">
        <w:rPr>
          <w:b/>
          <w:sz w:val="28"/>
          <w:szCs w:val="28"/>
          <w:lang w:eastAsia="uk-UA"/>
        </w:rPr>
        <w:t xml:space="preserve">к </w:t>
      </w:r>
    </w:p>
    <w:p w:rsidR="007C7743" w:rsidRPr="00CE1698" w:rsidRDefault="007C7743" w:rsidP="0017110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</w:p>
    <w:tbl>
      <w:tblPr>
        <w:tblW w:w="15399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70"/>
        <w:gridCol w:w="2340"/>
        <w:gridCol w:w="2524"/>
        <w:gridCol w:w="2207"/>
        <w:gridCol w:w="1438"/>
        <w:gridCol w:w="1440"/>
        <w:gridCol w:w="2160"/>
      </w:tblGrid>
      <w:tr w:rsidR="00103EEF" w:rsidRPr="00CE1698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 </w:t>
            </w:r>
            <w:r w:rsidRPr="00CE1698">
              <w:rPr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770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340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2524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07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2878" w:type="dxa"/>
            <w:gridSpan w:val="2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2160" w:type="dxa"/>
            <w:vMerge w:val="restart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103EEF" w:rsidRPr="00CE1698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207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Джерела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Обсяги, грн</w:t>
            </w:r>
          </w:p>
        </w:tc>
        <w:tc>
          <w:tcPr>
            <w:tcW w:w="2160" w:type="dxa"/>
            <w:vMerge/>
            <w:vAlign w:val="center"/>
          </w:tcPr>
          <w:p w:rsidR="00103EEF" w:rsidRPr="00CE1698" w:rsidRDefault="00103EE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77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Забезпечення фінансової бази для підтримки діяльності апарату облдержадміністрації та її структурних підрозділів</w:t>
            </w:r>
          </w:p>
        </w:tc>
        <w:tc>
          <w:tcPr>
            <w:tcW w:w="234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1. Забезпечення матеріальної підтримки працівників</w:t>
            </w: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затрат</w:t>
            </w:r>
            <w:r w:rsidRPr="00CE1698">
              <w:rPr>
                <w:sz w:val="24"/>
                <w:szCs w:val="24"/>
                <w:lang w:eastAsia="uk-UA"/>
              </w:rPr>
              <w:t xml:space="preserve">  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Апарат облдержадміністрації та її структурні підрозділи</w:t>
            </w:r>
          </w:p>
        </w:tc>
        <w:tc>
          <w:tcPr>
            <w:tcW w:w="1438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4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Cs/>
                <w:color w:val="FFFFFF"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59 000 000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Підвищення ефективності роботи працівників і зміцнення кадрового потенціалу шляхом покращення умов оплати праці та залучення висококваліфікованих працівників. 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Підвищення ефективності та </w:t>
            </w:r>
            <w:r w:rsidRPr="00CE1698">
              <w:rPr>
                <w:sz w:val="24"/>
                <w:szCs w:val="24"/>
                <w:lang w:eastAsia="uk-UA"/>
              </w:rPr>
              <w:lastRenderedPageBreak/>
              <w:t>рівня оперативності роботи органів виконавчої влади області</w:t>
            </w: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CE1698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кількість працівників, які отримуватимуть фінансову підтримку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середній розмір фінансової підтримки одного працівника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відсоток росту середньої заробітної плати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  <w:trHeight w:val="1529"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 xml:space="preserve">2. Придбання матеріалів, предметів, обладнання, предметів </w:t>
            </w:r>
            <w:r w:rsidRPr="00CE1698">
              <w:rPr>
                <w:bCs/>
                <w:sz w:val="24"/>
                <w:szCs w:val="24"/>
                <w:lang w:eastAsia="uk-UA"/>
              </w:rPr>
              <w:lastRenderedPageBreak/>
              <w:t>довгострокового користування, надання послуг та інші видатки з поточного утримання; оплата комунальних послуг і енергоносіїв, відряджень, сплата штрафів, пені, судових зборів тощо</w:t>
            </w: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lastRenderedPageBreak/>
              <w:t>затрат</w:t>
            </w:r>
            <w:r w:rsidRPr="00CE1698">
              <w:rPr>
                <w:sz w:val="24"/>
                <w:szCs w:val="24"/>
                <w:lang w:eastAsia="uk-UA"/>
              </w:rPr>
              <w:t xml:space="preserve">  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Апарат облдержадміністрації та її структурні підрозділи</w:t>
            </w: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3 251 604</w:t>
            </w:r>
          </w:p>
        </w:tc>
        <w:tc>
          <w:tcPr>
            <w:tcW w:w="2160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CE1698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0466FF" w:rsidRPr="00CE1698" w:rsidRDefault="000466FF" w:rsidP="000B228C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кількість придбаних предметів, матеріалів, обладнання, наданих послуг, відряджень, інших видатків, спожитих енергоносіїв, предметів довгострокового користування тощо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  <w:trHeight w:val="3360"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середня вартість одиниці придбаних предметів, матеріалів, обладнання; наданих послуг, одного відрядження, спожитих енергоносіїв,</w:t>
            </w:r>
            <w:r w:rsidRPr="00CE1698">
              <w:rPr>
                <w:bCs/>
                <w:sz w:val="24"/>
                <w:szCs w:val="24"/>
                <w:lang w:eastAsia="uk-UA"/>
              </w:rPr>
              <w:t xml:space="preserve"> предметів довгострокового користування</w:t>
            </w:r>
            <w:r w:rsidRPr="00CE1698">
              <w:rPr>
                <w:sz w:val="24"/>
                <w:szCs w:val="24"/>
                <w:lang w:eastAsia="uk-UA"/>
              </w:rPr>
              <w:t xml:space="preserve"> тощо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0466FF" w:rsidRPr="00CE1698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52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0466FF" w:rsidRPr="00CE1698" w:rsidRDefault="000466FF" w:rsidP="00C47480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0466FF" w:rsidRPr="00CE1698" w:rsidRDefault="000466FF" w:rsidP="00C4748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відсоток забезпечення </w:t>
            </w:r>
            <w:r w:rsidRPr="00CE1698">
              <w:rPr>
                <w:bCs/>
                <w:sz w:val="24"/>
                <w:szCs w:val="24"/>
                <w:lang w:eastAsia="uk-UA"/>
              </w:rPr>
              <w:t>предметами, матеріалами, обладнанням, послугами, іншими видатками, енергоносіями, предметами довгострокового користування тощо</w:t>
            </w:r>
            <w:r w:rsidRPr="00CE1698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207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466FF" w:rsidRPr="00CE1698" w:rsidRDefault="000466F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D69C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CD69CF" w:rsidRPr="0092242A" w:rsidRDefault="00CD69CF" w:rsidP="00483726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>3. Проведення поточного ремонту санвузлів</w:t>
            </w:r>
            <w:r w:rsidR="001A4FB3">
              <w:rPr>
                <w:bCs/>
                <w:sz w:val="24"/>
                <w:szCs w:val="24"/>
                <w:lang w:eastAsia="uk-UA"/>
              </w:rPr>
              <w:t xml:space="preserve"> в частині </w:t>
            </w:r>
            <w:r w:rsidR="001A4FB3">
              <w:rPr>
                <w:bCs/>
                <w:sz w:val="24"/>
                <w:szCs w:val="24"/>
                <w:lang w:eastAsia="uk-UA"/>
              </w:rPr>
              <w:lastRenderedPageBreak/>
              <w:t>приміщень будівлі за адресою м.</w:t>
            </w:r>
            <w:r w:rsidR="00483726">
              <w:rPr>
                <w:bCs/>
                <w:sz w:val="24"/>
                <w:szCs w:val="24"/>
                <w:lang w:eastAsia="uk-UA"/>
              </w:rPr>
              <w:t xml:space="preserve"> </w:t>
            </w:r>
            <w:r w:rsidR="001A4FB3">
              <w:rPr>
                <w:bCs/>
                <w:sz w:val="24"/>
                <w:szCs w:val="24"/>
                <w:lang w:eastAsia="uk-UA"/>
              </w:rPr>
              <w:t>Львів, вул. Винниченка, буд.18 (об’єкт пам’ятки архітектури, охоронний номер 1325)</w:t>
            </w:r>
          </w:p>
        </w:tc>
        <w:tc>
          <w:tcPr>
            <w:tcW w:w="2524" w:type="dxa"/>
          </w:tcPr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i/>
                <w:iCs/>
                <w:sz w:val="24"/>
                <w:szCs w:val="24"/>
                <w:lang w:eastAsia="uk-UA"/>
              </w:rPr>
              <w:lastRenderedPageBreak/>
              <w:t>затрат</w:t>
            </w:r>
            <w:r w:rsidRPr="0092242A">
              <w:rPr>
                <w:sz w:val="24"/>
                <w:szCs w:val="24"/>
                <w:lang w:eastAsia="uk-UA"/>
              </w:rPr>
              <w:t xml:space="preserve">  </w:t>
            </w:r>
          </w:p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>Апарат облдержадміністрації</w:t>
            </w:r>
          </w:p>
        </w:tc>
        <w:tc>
          <w:tcPr>
            <w:tcW w:w="1438" w:type="dxa"/>
            <w:vMerge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CD69CF" w:rsidRPr="0092242A" w:rsidRDefault="00CD69CF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>1 480</w:t>
            </w:r>
            <w:r w:rsidR="007C7743" w:rsidRPr="0092242A">
              <w:rPr>
                <w:bCs/>
                <w:sz w:val="24"/>
                <w:szCs w:val="24"/>
                <w:lang w:eastAsia="uk-UA"/>
              </w:rPr>
              <w:t> </w:t>
            </w:r>
            <w:r w:rsidRPr="0092242A">
              <w:rPr>
                <w:bCs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7C7743" w:rsidRPr="0092242A" w:rsidRDefault="007C7743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7C7743" w:rsidRPr="0092242A" w:rsidRDefault="007C7743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  <w:p w:rsidR="007C7743" w:rsidRPr="0092242A" w:rsidRDefault="007C7743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lastRenderedPageBreak/>
              <w:t>Підтримка об’єкта оренди у придатному для використання стані</w:t>
            </w:r>
          </w:p>
        </w:tc>
      </w:tr>
      <w:tr w:rsidR="00CD69C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 w:val="restart"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CD69CF" w:rsidRPr="0092242A" w:rsidRDefault="00CD69CF" w:rsidP="00C47480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92242A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92242A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 xml:space="preserve">кількість </w:t>
            </w:r>
            <w:r w:rsidR="00583B75" w:rsidRPr="0092242A">
              <w:rPr>
                <w:bCs/>
                <w:sz w:val="24"/>
                <w:szCs w:val="24"/>
                <w:lang w:eastAsia="uk-UA"/>
              </w:rPr>
              <w:t>відремонтованих приміщень</w:t>
            </w:r>
          </w:p>
        </w:tc>
        <w:tc>
          <w:tcPr>
            <w:tcW w:w="2207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CD69CF" w:rsidRPr="0092242A" w:rsidRDefault="00CD69CF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D69C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CD69CF" w:rsidRPr="0092242A" w:rsidRDefault="00CD69CF" w:rsidP="00C47480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92242A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t>середн</w:t>
            </w:r>
            <w:r w:rsidR="003B12B0" w:rsidRPr="0092242A">
              <w:rPr>
                <w:sz w:val="24"/>
                <w:szCs w:val="24"/>
                <w:lang w:eastAsia="uk-UA"/>
              </w:rPr>
              <w:t>я</w:t>
            </w:r>
            <w:r w:rsidRPr="0092242A">
              <w:rPr>
                <w:sz w:val="24"/>
                <w:szCs w:val="24"/>
                <w:lang w:eastAsia="uk-UA"/>
              </w:rPr>
              <w:t xml:space="preserve"> </w:t>
            </w:r>
            <w:r w:rsidR="00583B75" w:rsidRPr="0092242A">
              <w:rPr>
                <w:sz w:val="24"/>
                <w:szCs w:val="24"/>
                <w:lang w:eastAsia="uk-UA"/>
              </w:rPr>
              <w:t>вартість ремонтних робіт</w:t>
            </w:r>
          </w:p>
        </w:tc>
        <w:tc>
          <w:tcPr>
            <w:tcW w:w="2207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CD69CF" w:rsidRPr="0092242A" w:rsidRDefault="00CD69CF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D69CF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CD69CF" w:rsidRPr="00CE1698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CD69CF" w:rsidRPr="0092242A" w:rsidRDefault="00CD69CF" w:rsidP="00C47480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92242A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CD69CF" w:rsidRPr="0092242A" w:rsidRDefault="00CD69CF" w:rsidP="006F61B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t xml:space="preserve">відсоток </w:t>
            </w:r>
            <w:r w:rsidR="003B12B0" w:rsidRPr="0092242A">
              <w:rPr>
                <w:sz w:val="24"/>
                <w:szCs w:val="24"/>
                <w:lang w:eastAsia="uk-UA"/>
              </w:rPr>
              <w:t>виконання ремонтних робіт</w:t>
            </w:r>
          </w:p>
        </w:tc>
        <w:tc>
          <w:tcPr>
            <w:tcW w:w="2207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CD69CF" w:rsidRPr="0092242A" w:rsidRDefault="00CD69CF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CD69CF" w:rsidRPr="0092242A" w:rsidRDefault="00CD69CF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2.</w:t>
            </w: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Забезпечення фінансової бази для підтримки діяльності Західного офісу Держаудитслужби </w:t>
            </w: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921524" w:rsidRPr="0092242A" w:rsidRDefault="00921524" w:rsidP="00C47480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>1. Забезпечення матеріальної підтримки працівників (заробітна плата з нарахуваннями)</w:t>
            </w:r>
          </w:p>
          <w:p w:rsidR="00921524" w:rsidRPr="0092242A" w:rsidRDefault="00921524" w:rsidP="00C47480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  <w:p w:rsidR="00921524" w:rsidRPr="0092242A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92242A" w:rsidRDefault="00921524" w:rsidP="007550D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i/>
                <w:iCs/>
                <w:sz w:val="24"/>
                <w:szCs w:val="24"/>
                <w:lang w:eastAsia="uk-UA"/>
              </w:rPr>
              <w:t>затрат</w:t>
            </w:r>
            <w:r w:rsidRPr="0092242A">
              <w:rPr>
                <w:sz w:val="24"/>
                <w:szCs w:val="24"/>
                <w:lang w:eastAsia="uk-UA"/>
              </w:rPr>
              <w:t xml:space="preserve">  </w:t>
            </w:r>
          </w:p>
          <w:p w:rsidR="00921524" w:rsidRPr="0092242A" w:rsidRDefault="00921524" w:rsidP="007550D0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921524" w:rsidRPr="0092242A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 xml:space="preserve">Західний офіс Держаудитслужби </w:t>
            </w:r>
          </w:p>
        </w:tc>
        <w:tc>
          <w:tcPr>
            <w:tcW w:w="1438" w:type="dxa"/>
            <w:vMerge w:val="restart"/>
          </w:tcPr>
          <w:p w:rsidR="00921524" w:rsidRPr="0092242A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921524" w:rsidRPr="0092242A" w:rsidRDefault="00921524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92242A">
              <w:rPr>
                <w:bCs/>
                <w:sz w:val="24"/>
                <w:szCs w:val="24"/>
                <w:lang w:eastAsia="uk-UA"/>
              </w:rPr>
              <w:t>3 000 000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21524" w:rsidRPr="0092242A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92242A">
              <w:rPr>
                <w:sz w:val="24"/>
                <w:szCs w:val="24"/>
                <w:lang w:eastAsia="uk-UA"/>
              </w:rPr>
              <w:t>Підвищення ефективності роботи працівників і зміцнення кадрового потенціалу шляхом покращення умов оплати праці</w:t>
            </w: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72043C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CE1698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921524" w:rsidRPr="00CE1698" w:rsidRDefault="00921524" w:rsidP="0072043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кількість працівників, які отримуватимуть фінансову підтримку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9C591D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921524" w:rsidRPr="00CE1698" w:rsidRDefault="00921524" w:rsidP="009C591D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середній розмір фінансової підтримки одного працівника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118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3E6A3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921524" w:rsidRPr="00CE1698" w:rsidRDefault="00921524" w:rsidP="003E6A3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відсоток росту середньої заробітної плати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52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77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/>
                <w:sz w:val="24"/>
                <w:szCs w:val="24"/>
                <w:lang w:eastAsia="uk-UA"/>
              </w:rPr>
              <w:t xml:space="preserve">Забезпечення фінансової бази для підтримки діяльності </w:t>
            </w:r>
            <w:r w:rsidRPr="00CE1698">
              <w:rPr>
                <w:b/>
                <w:sz w:val="24"/>
                <w:szCs w:val="24"/>
                <w:lang w:eastAsia="uk-UA"/>
              </w:rPr>
              <w:lastRenderedPageBreak/>
              <w:t>Головного управління Державної казначейської служби України у Львівській області</w:t>
            </w:r>
          </w:p>
        </w:tc>
        <w:tc>
          <w:tcPr>
            <w:tcW w:w="234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lastRenderedPageBreak/>
              <w:t xml:space="preserve"> 1. </w:t>
            </w:r>
            <w:r w:rsidRPr="00CE1698">
              <w:rPr>
                <w:sz w:val="24"/>
                <w:szCs w:val="24"/>
              </w:rPr>
              <w:t xml:space="preserve">Придбання паперу, марок, конвертів, </w:t>
            </w:r>
            <w:r w:rsidRPr="00CE1698">
              <w:rPr>
                <w:sz w:val="24"/>
                <w:szCs w:val="24"/>
              </w:rPr>
              <w:lastRenderedPageBreak/>
              <w:t>канцелярських, господарських товарів та дезінфекційних засобів, пального, у тому числі для резервного джерела електроживлення,  витратних матеріалів для комп’ютерної та офісної техніки; джерел безперебійного живлення</w:t>
            </w:r>
          </w:p>
        </w:tc>
        <w:tc>
          <w:tcPr>
            <w:tcW w:w="2524" w:type="dxa"/>
          </w:tcPr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lastRenderedPageBreak/>
              <w:t>затрат</w:t>
            </w:r>
            <w:r w:rsidRPr="00CE1698">
              <w:rPr>
                <w:sz w:val="24"/>
                <w:szCs w:val="24"/>
                <w:lang w:eastAsia="uk-UA"/>
              </w:rPr>
              <w:t xml:space="preserve">  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 xml:space="preserve">Головне управління Державної </w:t>
            </w:r>
            <w:r w:rsidRPr="00CE1698">
              <w:rPr>
                <w:bCs/>
                <w:sz w:val="24"/>
                <w:szCs w:val="24"/>
                <w:lang w:eastAsia="uk-UA"/>
              </w:rPr>
              <w:lastRenderedPageBreak/>
              <w:t>казначейської служби України у Львівській області</w:t>
            </w:r>
          </w:p>
        </w:tc>
        <w:tc>
          <w:tcPr>
            <w:tcW w:w="1438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240 000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Надання розпорядникам та одержувачам </w:t>
            </w:r>
            <w:r w:rsidRPr="00CE1698">
              <w:rPr>
                <w:sz w:val="24"/>
                <w:szCs w:val="24"/>
                <w:lang w:eastAsia="uk-UA"/>
              </w:rPr>
              <w:lastRenderedPageBreak/>
              <w:t>бюджетних коштів якісних послуг у сфері казначейського обслуговування</w:t>
            </w: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CE1698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кількість придбаного </w:t>
            </w:r>
            <w:r w:rsidRPr="00CE1698">
              <w:rPr>
                <w:sz w:val="24"/>
                <w:szCs w:val="24"/>
              </w:rPr>
              <w:t>паперу, марок, конвертів, канцелярських, господарських товарів та дезінфекційних засобів, пального, у тому числі для резервного джерела електроживлення,  витратних матеріалів для комп’ютерної та офісної техніки; джерел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2700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середня вартість одиниці придбаного </w:t>
            </w:r>
            <w:r w:rsidRPr="00CE1698">
              <w:rPr>
                <w:sz w:val="24"/>
                <w:szCs w:val="24"/>
              </w:rPr>
              <w:t>паперу, марок, конвертів, канцелярських, господарських товарів та дезінфекційних засобів, пального, у тому числі для резервного джерела електроживлення,  витратних матеріалів для комп’ютерної та офісної техніки; джерел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921524" w:rsidRPr="00CE1698" w:rsidRDefault="00921524" w:rsidP="000927CC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відсоток забезпечення </w:t>
            </w:r>
            <w:r w:rsidRPr="00CE1698">
              <w:rPr>
                <w:sz w:val="24"/>
                <w:szCs w:val="24"/>
              </w:rPr>
              <w:t>папером, марками, конвертами, канцелярськими, господарськими товарами, дезінфекційними засобами, пальним, у тому числі для резервного джерела електроживлення,  витратними матеріалами для комп’ютерної та офісної техніки; джерелами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 xml:space="preserve">2. </w:t>
            </w:r>
            <w:r w:rsidRPr="00CE1698">
              <w:rPr>
                <w:sz w:val="24"/>
                <w:szCs w:val="24"/>
              </w:rPr>
              <w:t xml:space="preserve">Придбання предметів довгострокового користування, у тому числі джерел безперебійного живлення </w:t>
            </w: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затрат</w:t>
            </w:r>
            <w:r w:rsidRPr="00CE1698">
              <w:rPr>
                <w:sz w:val="24"/>
                <w:szCs w:val="24"/>
                <w:lang w:eastAsia="uk-UA"/>
              </w:rPr>
              <w:t xml:space="preserve">  </w:t>
            </w:r>
          </w:p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Головне управління Державної казначейської служби України у Львівській області</w:t>
            </w: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160 000</w:t>
            </w:r>
          </w:p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  <w:p w:rsidR="00921524" w:rsidRPr="00CE1698" w:rsidRDefault="00921524" w:rsidP="0064730B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FA6162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</w:p>
          <w:p w:rsidR="00921524" w:rsidRPr="00CE1698" w:rsidRDefault="00921524" w:rsidP="000472F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кількість придбаних предметів </w:t>
            </w:r>
            <w:r w:rsidRPr="00CE1698">
              <w:rPr>
                <w:sz w:val="24"/>
                <w:szCs w:val="24"/>
              </w:rPr>
              <w:t>довгострокового користування, у тому числі джерел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середня вартість одиниці придбаних </w:t>
            </w:r>
            <w:r w:rsidRPr="00CE1698">
              <w:rPr>
                <w:sz w:val="24"/>
                <w:szCs w:val="24"/>
              </w:rPr>
              <w:t>предметів довгострокового користування, у тому числі джерел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1890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921524" w:rsidRPr="00CE1698" w:rsidRDefault="00921524" w:rsidP="000927CC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 xml:space="preserve">відсоток забезпечення предметами </w:t>
            </w:r>
            <w:r w:rsidRPr="00CE1698">
              <w:rPr>
                <w:sz w:val="24"/>
                <w:szCs w:val="24"/>
              </w:rPr>
              <w:t>довгострокового користування, у тому числі джерелами безперебійного живлення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5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921524" w:rsidRPr="00CE1698" w:rsidRDefault="00921524" w:rsidP="00653FCC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CE1698">
              <w:rPr>
                <w:sz w:val="24"/>
                <w:szCs w:val="24"/>
              </w:rPr>
              <w:t>3. Оплата поточного ремонту обладнання та інших послуг, пов’язаних з виконанням основних функцій тощо</w:t>
            </w: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4" w:type="dxa"/>
          </w:tcPr>
          <w:p w:rsidR="00921524" w:rsidRPr="00CE1698" w:rsidRDefault="00921524" w:rsidP="00D22B9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затрат</w:t>
            </w:r>
            <w:r w:rsidRPr="00CE1698">
              <w:rPr>
                <w:sz w:val="24"/>
                <w:szCs w:val="24"/>
                <w:lang w:eastAsia="uk-UA"/>
              </w:rPr>
              <w:t xml:space="preserve">  </w:t>
            </w:r>
          </w:p>
          <w:p w:rsidR="00921524" w:rsidRPr="00CE1698" w:rsidRDefault="00921524" w:rsidP="00D22B99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Головне управління Державної казначейської служби України у Львівській області</w:t>
            </w:r>
          </w:p>
        </w:tc>
        <w:tc>
          <w:tcPr>
            <w:tcW w:w="1438" w:type="dxa"/>
            <w:vMerge w:val="restart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100 000</w:t>
            </w:r>
          </w:p>
        </w:tc>
        <w:tc>
          <w:tcPr>
            <w:tcW w:w="2160" w:type="dxa"/>
            <w:vMerge w:val="restart"/>
            <w:tcBorders>
              <w:top w:val="nil"/>
            </w:tcBorders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106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 w:rsidRPr="00CE1698"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921524" w:rsidRPr="00CE1698" w:rsidRDefault="00921524" w:rsidP="00905755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  <w:lang w:eastAsia="uk-UA"/>
              </w:rPr>
            </w:pPr>
            <w:r w:rsidRPr="00CE1698">
              <w:rPr>
                <w:bCs/>
                <w:sz w:val="24"/>
                <w:szCs w:val="24"/>
                <w:lang w:eastAsia="uk-UA"/>
              </w:rPr>
              <w:t>кількість від</w:t>
            </w:r>
            <w:r w:rsidRPr="00CE1698">
              <w:rPr>
                <w:bCs/>
                <w:sz w:val="24"/>
                <w:szCs w:val="24"/>
              </w:rPr>
              <w:t>ремонтованого обладнання, інших послуг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CE1698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середня вартість  одиниці відремонтованого обладнання, інших послуг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CE1698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  <w:shd w:val="clear" w:color="auto" w:fill="auto"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0472F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</w:tcPr>
          <w:p w:rsidR="00921524" w:rsidRPr="00CE1698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921524" w:rsidRPr="00CE1698" w:rsidRDefault="00921524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 w:rsidRPr="00CE1698"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921524" w:rsidRPr="00CE1698" w:rsidRDefault="00921524" w:rsidP="00E9069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 w:rsidRPr="00CE1698">
              <w:rPr>
                <w:sz w:val="24"/>
                <w:szCs w:val="24"/>
                <w:lang w:eastAsia="uk-UA"/>
              </w:rPr>
              <w:t>відсоток відремонтованого обладнання та виконання інших послуг</w:t>
            </w:r>
          </w:p>
        </w:tc>
        <w:tc>
          <w:tcPr>
            <w:tcW w:w="2207" w:type="dxa"/>
            <w:vMerge/>
            <w:shd w:val="clear" w:color="auto" w:fill="auto"/>
          </w:tcPr>
          <w:p w:rsidR="00921524" w:rsidRPr="000472F6" w:rsidRDefault="00921524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921524" w:rsidRPr="000472F6" w:rsidRDefault="00921524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921524" w:rsidRPr="000472F6" w:rsidRDefault="00921524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  <w:shd w:val="clear" w:color="auto" w:fill="auto"/>
          </w:tcPr>
          <w:p w:rsidR="00921524" w:rsidRPr="000472F6" w:rsidRDefault="00921524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FE6018" w:rsidRPr="000472F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0" w:type="dxa"/>
            <w:vMerge w:val="restart"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770" w:type="dxa"/>
            <w:vMerge w:val="restart"/>
          </w:tcPr>
          <w:p w:rsidR="00FE6018" w:rsidRPr="00C52CA9" w:rsidRDefault="00FE6018" w:rsidP="006810C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Забезпечення фінансової бази для підтримки </w:t>
            </w:r>
            <w:r w:rsidRPr="00C52CA9">
              <w:rPr>
                <w:b/>
                <w:bCs/>
                <w:sz w:val="24"/>
                <w:szCs w:val="24"/>
              </w:rPr>
              <w:t>Головного управління Державної податкової служби України у Львівській області</w:t>
            </w:r>
            <w:r w:rsidRPr="00C52CA9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 w:val="restart"/>
          </w:tcPr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Поштові послуги з пересилання поштових карток, листів, бандеролей (простих та рекомендованих) з оплатою шляхом нанесення на поштове відправлення відбитку кліше державного знака маркувальної машини </w:t>
            </w:r>
          </w:p>
        </w:tc>
        <w:tc>
          <w:tcPr>
            <w:tcW w:w="2524" w:type="dxa"/>
          </w:tcPr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>затрат</w:t>
            </w:r>
            <w:r>
              <w:rPr>
                <w:sz w:val="24"/>
                <w:szCs w:val="24"/>
                <w:lang w:eastAsia="uk-UA"/>
              </w:rPr>
              <w:t xml:space="preserve">  </w:t>
            </w:r>
          </w:p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обсяг фінансового ресурсу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FE6018" w:rsidRPr="009A54DC" w:rsidRDefault="00FE6018" w:rsidP="009A5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9A54DC">
              <w:rPr>
                <w:sz w:val="24"/>
                <w:szCs w:val="24"/>
              </w:rPr>
              <w:t>Головне управління Державної податкової служби України у Львівській області</w:t>
            </w:r>
          </w:p>
          <w:p w:rsidR="00FE6018" w:rsidRPr="000472F6" w:rsidRDefault="00FE6018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 w:val="restart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 w:val="restart"/>
          </w:tcPr>
          <w:p w:rsidR="00FE6018" w:rsidRPr="004F106B" w:rsidRDefault="00FE6018" w:rsidP="007550D0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  <w:r w:rsidRPr="004F106B">
              <w:rPr>
                <w:bCs/>
                <w:sz w:val="24"/>
                <w:szCs w:val="24"/>
                <w:lang w:eastAsia="uk-UA"/>
              </w:rPr>
              <w:t>2 000 000</w:t>
            </w:r>
          </w:p>
        </w:tc>
        <w:tc>
          <w:tcPr>
            <w:tcW w:w="2160" w:type="dxa"/>
            <w:vMerge w:val="restart"/>
            <w:tcBorders>
              <w:top w:val="nil"/>
            </w:tcBorders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FE6018" w:rsidRPr="000472F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b/>
                <w:i/>
                <w:iCs/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>продукту</w:t>
            </w:r>
            <w:r>
              <w:rPr>
                <w:b/>
                <w:i/>
                <w:iCs/>
                <w:sz w:val="24"/>
                <w:szCs w:val="24"/>
                <w:lang w:eastAsia="uk-UA"/>
              </w:rPr>
              <w:t xml:space="preserve"> </w:t>
            </w:r>
          </w:p>
          <w:p w:rsidR="00FE6018" w:rsidRPr="00CE1698" w:rsidRDefault="00FE6018" w:rsidP="00C8792C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кількість послуг з пересилання</w:t>
            </w:r>
          </w:p>
        </w:tc>
        <w:tc>
          <w:tcPr>
            <w:tcW w:w="2207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FE6018" w:rsidRPr="000472F6" w:rsidRDefault="00FE6018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FE6018" w:rsidRPr="000472F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>ефективності</w:t>
            </w:r>
          </w:p>
          <w:p w:rsidR="00FE6018" w:rsidRPr="00CE1698" w:rsidRDefault="00FE6018" w:rsidP="00225FED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середня вартість  одної послуги з пересилання</w:t>
            </w:r>
          </w:p>
        </w:tc>
        <w:tc>
          <w:tcPr>
            <w:tcW w:w="2207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FE6018" w:rsidRPr="000472F6" w:rsidRDefault="00FE6018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FE6018" w:rsidRPr="000472F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2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770" w:type="dxa"/>
            <w:vMerge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340" w:type="dxa"/>
            <w:vMerge/>
            <w:vAlign w:val="center"/>
          </w:tcPr>
          <w:p w:rsidR="00FE6018" w:rsidRPr="00CE1698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FE6018" w:rsidRDefault="00FE6018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  <w:lang w:eastAsia="uk-UA"/>
              </w:rPr>
              <w:t>якості</w:t>
            </w:r>
          </w:p>
          <w:p w:rsidR="00FE6018" w:rsidRPr="00CE1698" w:rsidRDefault="00FE6018" w:rsidP="00D20C79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відсоток наданих послуг з пересилання</w:t>
            </w:r>
          </w:p>
        </w:tc>
        <w:tc>
          <w:tcPr>
            <w:tcW w:w="2207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  <w:vMerge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  <w:vMerge/>
          </w:tcPr>
          <w:p w:rsidR="00FE6018" w:rsidRPr="000472F6" w:rsidRDefault="00FE6018" w:rsidP="007550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FE6018" w:rsidRPr="000472F6" w:rsidRDefault="00FE6018" w:rsidP="00103EEF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21524" w:rsidRPr="000472F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4" w:type="dxa"/>
            <w:gridSpan w:val="4"/>
          </w:tcPr>
          <w:p w:rsidR="00921524" w:rsidRPr="000472F6" w:rsidRDefault="00921524" w:rsidP="00131E09">
            <w:pPr>
              <w:autoSpaceDE w:val="0"/>
              <w:autoSpaceDN w:val="0"/>
              <w:adjustRightInd w:val="0"/>
              <w:ind w:firstLine="542"/>
              <w:jc w:val="left"/>
              <w:rPr>
                <w:b/>
                <w:sz w:val="24"/>
                <w:szCs w:val="24"/>
                <w:lang w:eastAsia="uk-UA"/>
              </w:rPr>
            </w:pPr>
            <w:r w:rsidRPr="000472F6">
              <w:rPr>
                <w:b/>
                <w:sz w:val="24"/>
                <w:szCs w:val="24"/>
                <w:lang w:eastAsia="uk-UA"/>
              </w:rPr>
              <w:t xml:space="preserve">Усього: </w:t>
            </w:r>
          </w:p>
        </w:tc>
        <w:tc>
          <w:tcPr>
            <w:tcW w:w="2207" w:type="dxa"/>
          </w:tcPr>
          <w:p w:rsidR="00921524" w:rsidRPr="000472F6" w:rsidRDefault="00921524" w:rsidP="00131E09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38" w:type="dxa"/>
          </w:tcPr>
          <w:p w:rsidR="00921524" w:rsidRPr="000472F6" w:rsidRDefault="00921524" w:rsidP="00131E0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440" w:type="dxa"/>
          </w:tcPr>
          <w:p w:rsidR="00921524" w:rsidRPr="000472F6" w:rsidRDefault="00921524" w:rsidP="00C711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1A4FB3">
              <w:rPr>
                <w:b/>
                <w:sz w:val="24"/>
                <w:szCs w:val="24"/>
                <w:lang w:eastAsia="uk-UA"/>
              </w:rPr>
              <w:t>6</w:t>
            </w:r>
            <w:r w:rsidR="00CA34F3">
              <w:rPr>
                <w:b/>
                <w:sz w:val="24"/>
                <w:szCs w:val="24"/>
                <w:lang w:eastAsia="uk-UA"/>
              </w:rPr>
              <w:t>9</w:t>
            </w:r>
            <w:r w:rsidRPr="001A4FB3">
              <w:rPr>
                <w:b/>
                <w:sz w:val="24"/>
                <w:szCs w:val="24"/>
                <w:lang w:eastAsia="uk-UA"/>
              </w:rPr>
              <w:t> </w:t>
            </w:r>
            <w:r w:rsidR="00A92B94" w:rsidRPr="001A4FB3">
              <w:rPr>
                <w:b/>
                <w:sz w:val="24"/>
                <w:szCs w:val="24"/>
                <w:lang w:eastAsia="uk-UA"/>
              </w:rPr>
              <w:t>23</w:t>
            </w:r>
            <w:r w:rsidRPr="001A4FB3">
              <w:rPr>
                <w:b/>
                <w:sz w:val="24"/>
                <w:szCs w:val="24"/>
                <w:lang w:eastAsia="uk-UA"/>
              </w:rPr>
              <w:t>1 604</w:t>
            </w:r>
          </w:p>
        </w:tc>
        <w:tc>
          <w:tcPr>
            <w:tcW w:w="2160" w:type="dxa"/>
          </w:tcPr>
          <w:p w:rsidR="00921524" w:rsidRPr="000472F6" w:rsidRDefault="00921524" w:rsidP="00131E09">
            <w:pPr>
              <w:autoSpaceDE w:val="0"/>
              <w:autoSpaceDN w:val="0"/>
              <w:adjustRightInd w:val="0"/>
              <w:ind w:firstLine="542"/>
              <w:jc w:val="left"/>
              <w:rPr>
                <w:b/>
                <w:sz w:val="24"/>
                <w:szCs w:val="24"/>
                <w:lang w:eastAsia="uk-UA"/>
              </w:rPr>
            </w:pPr>
            <w:r w:rsidRPr="000472F6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C47480" w:rsidRDefault="00C47480" w:rsidP="00DD3145">
      <w:pPr>
        <w:autoSpaceDE w:val="0"/>
        <w:autoSpaceDN w:val="0"/>
        <w:adjustRightInd w:val="0"/>
        <w:ind w:left="180"/>
        <w:rPr>
          <w:b/>
          <w:lang w:eastAsia="uk-UA"/>
        </w:rPr>
      </w:pPr>
    </w:p>
    <w:p w:rsidR="00FF5B62" w:rsidRDefault="00FF5B62" w:rsidP="00DD3145">
      <w:pPr>
        <w:autoSpaceDE w:val="0"/>
        <w:autoSpaceDN w:val="0"/>
        <w:adjustRightInd w:val="0"/>
        <w:ind w:left="180"/>
        <w:rPr>
          <w:b/>
          <w:lang w:eastAsia="uk-UA"/>
        </w:rPr>
      </w:pPr>
    </w:p>
    <w:p w:rsidR="0072043C" w:rsidRPr="0072043C" w:rsidRDefault="0049220C" w:rsidP="00C2300D">
      <w:pPr>
        <w:autoSpaceDE w:val="0"/>
        <w:autoSpaceDN w:val="0"/>
        <w:adjustRightInd w:val="0"/>
        <w:ind w:left="888" w:firstLine="528"/>
        <w:rPr>
          <w:bCs/>
          <w:sz w:val="24"/>
          <w:szCs w:val="24"/>
          <w:lang w:eastAsia="uk-UA"/>
        </w:rPr>
      </w:pPr>
      <w:r>
        <w:rPr>
          <w:b/>
          <w:lang w:eastAsia="uk-UA"/>
        </w:rPr>
        <w:t>____________________________________________________________________________________________</w:t>
      </w:r>
      <w:r w:rsidR="00C2300D">
        <w:rPr>
          <w:b/>
          <w:lang w:eastAsia="uk-UA"/>
        </w:rPr>
        <w:t xml:space="preserve">   </w:t>
      </w:r>
    </w:p>
    <w:sectPr w:rsidR="0072043C" w:rsidRPr="0072043C" w:rsidSect="00851BF5">
      <w:headerReference w:type="even" r:id="rId8"/>
      <w:headerReference w:type="default" r:id="rId9"/>
      <w:pgSz w:w="16838" w:h="11906" w:orient="landscape"/>
      <w:pgMar w:top="340" w:right="851" w:bottom="180" w:left="90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B4" w:rsidRDefault="00DC61B4">
      <w:r>
        <w:separator/>
      </w:r>
    </w:p>
  </w:endnote>
  <w:endnote w:type="continuationSeparator" w:id="0">
    <w:p w:rsidR="00DC61B4" w:rsidRDefault="00DC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B4" w:rsidRDefault="00DC61B4">
      <w:r>
        <w:separator/>
      </w:r>
    </w:p>
  </w:footnote>
  <w:footnote w:type="continuationSeparator" w:id="0">
    <w:p w:rsidR="00DC61B4" w:rsidRDefault="00DC6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36" w:rsidRPr="00CB0FFD" w:rsidRDefault="00417036" w:rsidP="00480509">
    <w:pPr>
      <w:pStyle w:val="a4"/>
      <w:framePr w:wrap="around" w:vAnchor="text" w:hAnchor="margin" w:xAlign="center" w:y="1"/>
      <w:rPr>
        <w:rStyle w:val="a6"/>
        <w:b w:val="0"/>
      </w:rPr>
    </w:pPr>
    <w:r w:rsidRPr="00CB0FFD">
      <w:rPr>
        <w:rStyle w:val="a6"/>
        <w:b w:val="0"/>
      </w:rPr>
      <w:fldChar w:fldCharType="begin"/>
    </w:r>
    <w:r w:rsidRPr="00CB0FFD">
      <w:rPr>
        <w:rStyle w:val="a6"/>
        <w:b w:val="0"/>
      </w:rPr>
      <w:instrText xml:space="preserve">PAGE  </w:instrText>
    </w:r>
    <w:r w:rsidRPr="00CB0FFD">
      <w:rPr>
        <w:rStyle w:val="a6"/>
        <w:b w:val="0"/>
      </w:rPr>
      <w:fldChar w:fldCharType="separate"/>
    </w:r>
    <w:r w:rsidR="0076264E">
      <w:rPr>
        <w:rStyle w:val="a6"/>
        <w:b w:val="0"/>
      </w:rPr>
      <w:t>4</w:t>
    </w:r>
    <w:r w:rsidRPr="00CB0FFD">
      <w:rPr>
        <w:rStyle w:val="a6"/>
        <w:b w:val="0"/>
      </w:rPr>
      <w:fldChar w:fldCharType="end"/>
    </w:r>
  </w:p>
  <w:p w:rsidR="00417036" w:rsidRDefault="00417036" w:rsidP="00065CFD">
    <w:pPr>
      <w:pStyle w:val="a4"/>
      <w:ind w:right="360"/>
    </w:pPr>
    <w:r>
      <w:tab/>
    </w:r>
    <w:r w:rsidRPr="00CB0FFD">
      <w:tab/>
    </w:r>
    <w:r>
      <w:tab/>
    </w:r>
    <w:r>
      <w:tab/>
    </w:r>
    <w:r>
      <w:tab/>
    </w:r>
    <w:r>
      <w:tab/>
    </w:r>
    <w:r>
      <w:tab/>
      <w:t>Продовження додатка 3</w:t>
    </w:r>
  </w:p>
  <w:p w:rsidR="00417036" w:rsidRDefault="00417036" w:rsidP="00065CF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36" w:rsidRDefault="00417036" w:rsidP="00B668EB">
    <w:pPr>
      <w:pStyle w:val="a4"/>
      <w:jc w:val="center"/>
    </w:pPr>
    <w:r>
      <w:tab/>
      <w:t xml:space="preserve">                                                                      7         </w:t>
    </w:r>
    <w:r>
      <w:tab/>
    </w:r>
    <w:r>
      <w:tab/>
    </w:r>
    <w:r>
      <w:tab/>
      <w:t xml:space="preserve"> Продовження додатка 3 </w:t>
    </w:r>
  </w:p>
  <w:p w:rsidR="00417036" w:rsidRDefault="00417036" w:rsidP="00480509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470"/>
    <w:multiLevelType w:val="hybridMultilevel"/>
    <w:tmpl w:val="AF0AB40A"/>
    <w:lvl w:ilvl="0" w:tplc="B49E8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B536D"/>
    <w:multiLevelType w:val="hybridMultilevel"/>
    <w:tmpl w:val="B2AAAF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C5"/>
    <w:rsid w:val="00002E00"/>
    <w:rsid w:val="0000728F"/>
    <w:rsid w:val="000159BB"/>
    <w:rsid w:val="000431CE"/>
    <w:rsid w:val="00043785"/>
    <w:rsid w:val="000466FF"/>
    <w:rsid w:val="000472F6"/>
    <w:rsid w:val="000523C4"/>
    <w:rsid w:val="0005405C"/>
    <w:rsid w:val="00056242"/>
    <w:rsid w:val="0005652D"/>
    <w:rsid w:val="00065CFD"/>
    <w:rsid w:val="000927CC"/>
    <w:rsid w:val="0009528C"/>
    <w:rsid w:val="000A1B92"/>
    <w:rsid w:val="000A5884"/>
    <w:rsid w:val="000A6413"/>
    <w:rsid w:val="000A7CEB"/>
    <w:rsid w:val="000B228C"/>
    <w:rsid w:val="000B51A5"/>
    <w:rsid w:val="000B6C89"/>
    <w:rsid w:val="000C545A"/>
    <w:rsid w:val="000C6AD6"/>
    <w:rsid w:val="000E405B"/>
    <w:rsid w:val="000F58B2"/>
    <w:rsid w:val="00103EEF"/>
    <w:rsid w:val="00104CA4"/>
    <w:rsid w:val="00110DBF"/>
    <w:rsid w:val="00131E09"/>
    <w:rsid w:val="00133108"/>
    <w:rsid w:val="00144008"/>
    <w:rsid w:val="00171107"/>
    <w:rsid w:val="00182A0F"/>
    <w:rsid w:val="001931EA"/>
    <w:rsid w:val="001A4FB3"/>
    <w:rsid w:val="001A77BB"/>
    <w:rsid w:val="001C0367"/>
    <w:rsid w:val="001D6D1B"/>
    <w:rsid w:val="001E0A66"/>
    <w:rsid w:val="001E1160"/>
    <w:rsid w:val="001F67F1"/>
    <w:rsid w:val="00202ACE"/>
    <w:rsid w:val="00213BDC"/>
    <w:rsid w:val="00225FED"/>
    <w:rsid w:val="00233AF9"/>
    <w:rsid w:val="002437FB"/>
    <w:rsid w:val="00243C22"/>
    <w:rsid w:val="002467D7"/>
    <w:rsid w:val="002519EF"/>
    <w:rsid w:val="00254DFD"/>
    <w:rsid w:val="0025545E"/>
    <w:rsid w:val="00264808"/>
    <w:rsid w:val="00275FD2"/>
    <w:rsid w:val="0028554B"/>
    <w:rsid w:val="00285D25"/>
    <w:rsid w:val="0029141E"/>
    <w:rsid w:val="0029156B"/>
    <w:rsid w:val="00295579"/>
    <w:rsid w:val="002A71E7"/>
    <w:rsid w:val="002D12B3"/>
    <w:rsid w:val="002D3564"/>
    <w:rsid w:val="002F73BF"/>
    <w:rsid w:val="00301559"/>
    <w:rsid w:val="00311802"/>
    <w:rsid w:val="00321992"/>
    <w:rsid w:val="003220A6"/>
    <w:rsid w:val="00323177"/>
    <w:rsid w:val="0032657C"/>
    <w:rsid w:val="0034180B"/>
    <w:rsid w:val="0035040B"/>
    <w:rsid w:val="003516DB"/>
    <w:rsid w:val="003537DC"/>
    <w:rsid w:val="00385C59"/>
    <w:rsid w:val="003B12B0"/>
    <w:rsid w:val="003C560A"/>
    <w:rsid w:val="003D57D4"/>
    <w:rsid w:val="003E0DCB"/>
    <w:rsid w:val="003E0E48"/>
    <w:rsid w:val="003E1971"/>
    <w:rsid w:val="003E6A35"/>
    <w:rsid w:val="003F20BB"/>
    <w:rsid w:val="00403F9A"/>
    <w:rsid w:val="00406DCD"/>
    <w:rsid w:val="0041293C"/>
    <w:rsid w:val="00417036"/>
    <w:rsid w:val="00421EFD"/>
    <w:rsid w:val="00435964"/>
    <w:rsid w:val="004513D2"/>
    <w:rsid w:val="004532B2"/>
    <w:rsid w:val="004736CA"/>
    <w:rsid w:val="00480509"/>
    <w:rsid w:val="00483726"/>
    <w:rsid w:val="004911A7"/>
    <w:rsid w:val="00492099"/>
    <w:rsid w:val="0049220C"/>
    <w:rsid w:val="0049337D"/>
    <w:rsid w:val="004940B7"/>
    <w:rsid w:val="004A7C2F"/>
    <w:rsid w:val="004C4873"/>
    <w:rsid w:val="004E59FE"/>
    <w:rsid w:val="004F02D8"/>
    <w:rsid w:val="004F106B"/>
    <w:rsid w:val="004F538B"/>
    <w:rsid w:val="004F5F7C"/>
    <w:rsid w:val="004F61CB"/>
    <w:rsid w:val="00503A03"/>
    <w:rsid w:val="00504AB8"/>
    <w:rsid w:val="00512306"/>
    <w:rsid w:val="00530C5B"/>
    <w:rsid w:val="00531B7B"/>
    <w:rsid w:val="00532C14"/>
    <w:rsid w:val="005402D7"/>
    <w:rsid w:val="00541127"/>
    <w:rsid w:val="00545482"/>
    <w:rsid w:val="005532F3"/>
    <w:rsid w:val="00565260"/>
    <w:rsid w:val="00576212"/>
    <w:rsid w:val="00581E18"/>
    <w:rsid w:val="00583B75"/>
    <w:rsid w:val="005B06A6"/>
    <w:rsid w:val="005B75BB"/>
    <w:rsid w:val="005D0B58"/>
    <w:rsid w:val="005D3C70"/>
    <w:rsid w:val="005D4520"/>
    <w:rsid w:val="005E3A15"/>
    <w:rsid w:val="005E4851"/>
    <w:rsid w:val="005F5D09"/>
    <w:rsid w:val="005F681C"/>
    <w:rsid w:val="00604766"/>
    <w:rsid w:val="00614099"/>
    <w:rsid w:val="006204CB"/>
    <w:rsid w:val="00621D4E"/>
    <w:rsid w:val="00622759"/>
    <w:rsid w:val="00640D03"/>
    <w:rsid w:val="00644616"/>
    <w:rsid w:val="0064730B"/>
    <w:rsid w:val="00647D74"/>
    <w:rsid w:val="00653FCC"/>
    <w:rsid w:val="00667698"/>
    <w:rsid w:val="00670BC8"/>
    <w:rsid w:val="00670FC4"/>
    <w:rsid w:val="00675045"/>
    <w:rsid w:val="006810C6"/>
    <w:rsid w:val="00682B03"/>
    <w:rsid w:val="006909B3"/>
    <w:rsid w:val="006A464B"/>
    <w:rsid w:val="006A4E68"/>
    <w:rsid w:val="006D0D45"/>
    <w:rsid w:val="006D130A"/>
    <w:rsid w:val="006E56C2"/>
    <w:rsid w:val="006E746D"/>
    <w:rsid w:val="006F61BF"/>
    <w:rsid w:val="00712417"/>
    <w:rsid w:val="0072043C"/>
    <w:rsid w:val="00733532"/>
    <w:rsid w:val="00754B3D"/>
    <w:rsid w:val="00754C8A"/>
    <w:rsid w:val="007550D0"/>
    <w:rsid w:val="007614FB"/>
    <w:rsid w:val="0076264E"/>
    <w:rsid w:val="007655A6"/>
    <w:rsid w:val="00775CDD"/>
    <w:rsid w:val="00791EE0"/>
    <w:rsid w:val="007C0816"/>
    <w:rsid w:val="007C7743"/>
    <w:rsid w:val="007D17B6"/>
    <w:rsid w:val="007E3012"/>
    <w:rsid w:val="007E3677"/>
    <w:rsid w:val="007E6B33"/>
    <w:rsid w:val="007F4263"/>
    <w:rsid w:val="007F51C3"/>
    <w:rsid w:val="007F6ACD"/>
    <w:rsid w:val="00805120"/>
    <w:rsid w:val="00813B13"/>
    <w:rsid w:val="008221C4"/>
    <w:rsid w:val="00840142"/>
    <w:rsid w:val="00845760"/>
    <w:rsid w:val="00845F3F"/>
    <w:rsid w:val="00851BF5"/>
    <w:rsid w:val="00855CD0"/>
    <w:rsid w:val="0086249C"/>
    <w:rsid w:val="00863B9A"/>
    <w:rsid w:val="008663BF"/>
    <w:rsid w:val="008668B9"/>
    <w:rsid w:val="008675A1"/>
    <w:rsid w:val="0087050F"/>
    <w:rsid w:val="0088178F"/>
    <w:rsid w:val="00884DC2"/>
    <w:rsid w:val="00891DC9"/>
    <w:rsid w:val="008931C7"/>
    <w:rsid w:val="00893296"/>
    <w:rsid w:val="008A0597"/>
    <w:rsid w:val="008A1498"/>
    <w:rsid w:val="008C2819"/>
    <w:rsid w:val="008D15FF"/>
    <w:rsid w:val="008F1257"/>
    <w:rsid w:val="008F2A43"/>
    <w:rsid w:val="008F2D47"/>
    <w:rsid w:val="00904D84"/>
    <w:rsid w:val="00905755"/>
    <w:rsid w:val="00905B16"/>
    <w:rsid w:val="009101FF"/>
    <w:rsid w:val="00921524"/>
    <w:rsid w:val="0092242A"/>
    <w:rsid w:val="00923FCC"/>
    <w:rsid w:val="00931D7D"/>
    <w:rsid w:val="009342D3"/>
    <w:rsid w:val="00934A0A"/>
    <w:rsid w:val="00941F50"/>
    <w:rsid w:val="009433B7"/>
    <w:rsid w:val="0094518A"/>
    <w:rsid w:val="00950F93"/>
    <w:rsid w:val="009735AE"/>
    <w:rsid w:val="009818AB"/>
    <w:rsid w:val="00995C95"/>
    <w:rsid w:val="009A1802"/>
    <w:rsid w:val="009A190D"/>
    <w:rsid w:val="009A54DC"/>
    <w:rsid w:val="009B642A"/>
    <w:rsid w:val="009C02CE"/>
    <w:rsid w:val="009C06F7"/>
    <w:rsid w:val="009C591D"/>
    <w:rsid w:val="009C6530"/>
    <w:rsid w:val="009D7038"/>
    <w:rsid w:val="009F2F72"/>
    <w:rsid w:val="009F4D91"/>
    <w:rsid w:val="00A053A4"/>
    <w:rsid w:val="00A1575A"/>
    <w:rsid w:val="00A16DE8"/>
    <w:rsid w:val="00A170FE"/>
    <w:rsid w:val="00A17810"/>
    <w:rsid w:val="00A2596F"/>
    <w:rsid w:val="00A463F4"/>
    <w:rsid w:val="00A5181B"/>
    <w:rsid w:val="00A77B11"/>
    <w:rsid w:val="00A82787"/>
    <w:rsid w:val="00A91141"/>
    <w:rsid w:val="00A92B94"/>
    <w:rsid w:val="00AB3881"/>
    <w:rsid w:val="00AC4BAE"/>
    <w:rsid w:val="00AD4388"/>
    <w:rsid w:val="00AD6F50"/>
    <w:rsid w:val="00AE22B1"/>
    <w:rsid w:val="00B03757"/>
    <w:rsid w:val="00B12C86"/>
    <w:rsid w:val="00B350CA"/>
    <w:rsid w:val="00B35FA7"/>
    <w:rsid w:val="00B46CB1"/>
    <w:rsid w:val="00B54AC4"/>
    <w:rsid w:val="00B55F48"/>
    <w:rsid w:val="00B60B7A"/>
    <w:rsid w:val="00B668EB"/>
    <w:rsid w:val="00B777BF"/>
    <w:rsid w:val="00B77B09"/>
    <w:rsid w:val="00B77D34"/>
    <w:rsid w:val="00BA4FA9"/>
    <w:rsid w:val="00BA7B2A"/>
    <w:rsid w:val="00BB40C7"/>
    <w:rsid w:val="00BB7F70"/>
    <w:rsid w:val="00BC5499"/>
    <w:rsid w:val="00BE11AB"/>
    <w:rsid w:val="00C001E9"/>
    <w:rsid w:val="00C052AC"/>
    <w:rsid w:val="00C062C5"/>
    <w:rsid w:val="00C07B96"/>
    <w:rsid w:val="00C10B3F"/>
    <w:rsid w:val="00C22774"/>
    <w:rsid w:val="00C2300D"/>
    <w:rsid w:val="00C46075"/>
    <w:rsid w:val="00C47480"/>
    <w:rsid w:val="00C52CA9"/>
    <w:rsid w:val="00C531F6"/>
    <w:rsid w:val="00C6020C"/>
    <w:rsid w:val="00C67CDC"/>
    <w:rsid w:val="00C701AE"/>
    <w:rsid w:val="00C71102"/>
    <w:rsid w:val="00C743D3"/>
    <w:rsid w:val="00C80BD0"/>
    <w:rsid w:val="00C85E83"/>
    <w:rsid w:val="00C8792C"/>
    <w:rsid w:val="00C9186E"/>
    <w:rsid w:val="00CA34F3"/>
    <w:rsid w:val="00CB0FFD"/>
    <w:rsid w:val="00CB3B60"/>
    <w:rsid w:val="00CB720B"/>
    <w:rsid w:val="00CD69CF"/>
    <w:rsid w:val="00CD7796"/>
    <w:rsid w:val="00CE1698"/>
    <w:rsid w:val="00CE7C05"/>
    <w:rsid w:val="00CF06C4"/>
    <w:rsid w:val="00D01884"/>
    <w:rsid w:val="00D12803"/>
    <w:rsid w:val="00D20C79"/>
    <w:rsid w:val="00D20DC3"/>
    <w:rsid w:val="00D214D5"/>
    <w:rsid w:val="00D22B99"/>
    <w:rsid w:val="00D277AF"/>
    <w:rsid w:val="00D33112"/>
    <w:rsid w:val="00D37F8E"/>
    <w:rsid w:val="00D40994"/>
    <w:rsid w:val="00D41E63"/>
    <w:rsid w:val="00D479F2"/>
    <w:rsid w:val="00D51150"/>
    <w:rsid w:val="00D51B36"/>
    <w:rsid w:val="00D6252A"/>
    <w:rsid w:val="00D64165"/>
    <w:rsid w:val="00D73C32"/>
    <w:rsid w:val="00DA3E47"/>
    <w:rsid w:val="00DA49A2"/>
    <w:rsid w:val="00DA4E3E"/>
    <w:rsid w:val="00DA731A"/>
    <w:rsid w:val="00DA767B"/>
    <w:rsid w:val="00DB0266"/>
    <w:rsid w:val="00DB53DD"/>
    <w:rsid w:val="00DC61B4"/>
    <w:rsid w:val="00DC7533"/>
    <w:rsid w:val="00DD3145"/>
    <w:rsid w:val="00DF154A"/>
    <w:rsid w:val="00DF3B65"/>
    <w:rsid w:val="00DF6183"/>
    <w:rsid w:val="00E0029D"/>
    <w:rsid w:val="00E02BAB"/>
    <w:rsid w:val="00E07A08"/>
    <w:rsid w:val="00E20ADC"/>
    <w:rsid w:val="00E20D0F"/>
    <w:rsid w:val="00E222E5"/>
    <w:rsid w:val="00E235BA"/>
    <w:rsid w:val="00E33D4C"/>
    <w:rsid w:val="00E35DBB"/>
    <w:rsid w:val="00E370D6"/>
    <w:rsid w:val="00E43A94"/>
    <w:rsid w:val="00E75824"/>
    <w:rsid w:val="00E7584C"/>
    <w:rsid w:val="00E870D3"/>
    <w:rsid w:val="00E90695"/>
    <w:rsid w:val="00E93354"/>
    <w:rsid w:val="00EB0A3C"/>
    <w:rsid w:val="00EB5892"/>
    <w:rsid w:val="00EB65A1"/>
    <w:rsid w:val="00EC5819"/>
    <w:rsid w:val="00EC7B17"/>
    <w:rsid w:val="00ED6C58"/>
    <w:rsid w:val="00EF0F05"/>
    <w:rsid w:val="00EF59BB"/>
    <w:rsid w:val="00EF71C7"/>
    <w:rsid w:val="00F0047B"/>
    <w:rsid w:val="00F06469"/>
    <w:rsid w:val="00F17EA5"/>
    <w:rsid w:val="00F34686"/>
    <w:rsid w:val="00F43A31"/>
    <w:rsid w:val="00F460D7"/>
    <w:rsid w:val="00F5626A"/>
    <w:rsid w:val="00F647EF"/>
    <w:rsid w:val="00F80307"/>
    <w:rsid w:val="00F915DD"/>
    <w:rsid w:val="00FA0636"/>
    <w:rsid w:val="00FA2091"/>
    <w:rsid w:val="00FA6162"/>
    <w:rsid w:val="00FB3050"/>
    <w:rsid w:val="00FC104B"/>
    <w:rsid w:val="00FD21E9"/>
    <w:rsid w:val="00FD26BE"/>
    <w:rsid w:val="00FE6018"/>
    <w:rsid w:val="00FF131F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79"/>
    <w:pPr>
      <w:jc w:val="both"/>
    </w:pPr>
    <w:rPr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07A08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ListParagraph">
    <w:name w:val="List Paragraph"/>
    <w:basedOn w:val="a"/>
    <w:rsid w:val="00E07A08"/>
    <w:pPr>
      <w:widowControl w:val="0"/>
      <w:autoSpaceDE w:val="0"/>
      <w:autoSpaceDN w:val="0"/>
      <w:ind w:left="216" w:firstLine="902"/>
    </w:pPr>
    <w:rPr>
      <w:rFonts w:eastAsia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rsid w:val="00DA3E47"/>
    <w:pPr>
      <w:tabs>
        <w:tab w:val="center" w:pos="4320"/>
        <w:tab w:val="right" w:pos="8640"/>
      </w:tabs>
    </w:pPr>
    <w:rPr>
      <w:noProof/>
    </w:rPr>
  </w:style>
  <w:style w:type="character" w:styleId="a6">
    <w:name w:val="page number"/>
    <w:rsid w:val="00DA3E47"/>
    <w:rPr>
      <w:rFonts w:ascii="Times New Roman" w:hAnsi="Times New Roman"/>
      <w:b/>
      <w:sz w:val="26"/>
    </w:rPr>
  </w:style>
  <w:style w:type="paragraph" w:customStyle="1" w:styleId="1">
    <w:name w:val=" Знак Знак1 Знак Знак Знак Знак Знак Знак Знак Знак Знак Знак"/>
    <w:basedOn w:val="a"/>
    <w:rsid w:val="00DA3E47"/>
    <w:pPr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140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614099"/>
    <w:rPr>
      <w:rFonts w:ascii="Segoe UI" w:hAnsi="Segoe UI" w:cs="Segoe UI"/>
      <w:sz w:val="18"/>
      <w:szCs w:val="1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rsid w:val="00EF59B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4F02D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4F02D8"/>
    <w:rPr>
      <w:sz w:val="26"/>
      <w:lang w:eastAsia="ru-RU"/>
    </w:rPr>
  </w:style>
  <w:style w:type="character" w:customStyle="1" w:styleId="a5">
    <w:name w:val="Верхній колонтитул Знак"/>
    <w:link w:val="a4"/>
    <w:uiPriority w:val="99"/>
    <w:rsid w:val="004F02D8"/>
    <w:rPr>
      <w:noProof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79"/>
    <w:pPr>
      <w:jc w:val="both"/>
    </w:pPr>
    <w:rPr>
      <w:sz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E07A08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ListParagraph">
    <w:name w:val="List Paragraph"/>
    <w:basedOn w:val="a"/>
    <w:rsid w:val="00E07A08"/>
    <w:pPr>
      <w:widowControl w:val="0"/>
      <w:autoSpaceDE w:val="0"/>
      <w:autoSpaceDN w:val="0"/>
      <w:ind w:left="216" w:firstLine="902"/>
    </w:pPr>
    <w:rPr>
      <w:rFonts w:eastAsia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rsid w:val="00DA3E47"/>
    <w:pPr>
      <w:tabs>
        <w:tab w:val="center" w:pos="4320"/>
        <w:tab w:val="right" w:pos="8640"/>
      </w:tabs>
    </w:pPr>
    <w:rPr>
      <w:noProof/>
    </w:rPr>
  </w:style>
  <w:style w:type="character" w:styleId="a6">
    <w:name w:val="page number"/>
    <w:rsid w:val="00DA3E47"/>
    <w:rPr>
      <w:rFonts w:ascii="Times New Roman" w:hAnsi="Times New Roman"/>
      <w:b/>
      <w:sz w:val="26"/>
    </w:rPr>
  </w:style>
  <w:style w:type="paragraph" w:customStyle="1" w:styleId="1">
    <w:name w:val=" Знак Знак1 Знак Знак Знак Знак Знак Знак Знак Знак Знак Знак"/>
    <w:basedOn w:val="a"/>
    <w:rsid w:val="00DA3E47"/>
    <w:pPr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140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614099"/>
    <w:rPr>
      <w:rFonts w:ascii="Segoe UI" w:hAnsi="Segoe UI" w:cs="Segoe UI"/>
      <w:sz w:val="18"/>
      <w:szCs w:val="18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rsid w:val="00EF59BB"/>
    <w:pPr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4F02D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4F02D8"/>
    <w:rPr>
      <w:sz w:val="26"/>
      <w:lang w:eastAsia="ru-RU"/>
    </w:rPr>
  </w:style>
  <w:style w:type="character" w:customStyle="1" w:styleId="a5">
    <w:name w:val="Верхній колонтитул Знак"/>
    <w:link w:val="a4"/>
    <w:uiPriority w:val="99"/>
    <w:rsid w:val="004F02D8"/>
    <w:rPr>
      <w:noProof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5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4134</Words>
  <Characters>2357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shtatnuy-sveta</dc:creator>
  <cp:lastModifiedBy>Yaroslav Vodonis</cp:lastModifiedBy>
  <cp:revision>2</cp:revision>
  <cp:lastPrinted>2023-04-19T12:01:00Z</cp:lastPrinted>
  <dcterms:created xsi:type="dcterms:W3CDTF">2023-07-07T13:20:00Z</dcterms:created>
  <dcterms:modified xsi:type="dcterms:W3CDTF">2023-07-07T13:20:00Z</dcterms:modified>
</cp:coreProperties>
</file>