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F97" w:rsidRPr="002C6402" w:rsidRDefault="00B50ACB" w:rsidP="00A62F97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  <w:lang w:eastAsia="ru-RU"/>
        </w:rPr>
      </w:pPr>
      <w:r w:rsidRPr="003E39CB">
        <w:rPr>
          <w:rFonts w:ascii="Times New Roman" w:hAnsi="Times New Roman" w:cs="Times New Roman"/>
          <w:sz w:val="28"/>
          <w:szCs w:val="28"/>
          <w:lang w:eastAsia="ru-RU"/>
        </w:rPr>
        <w:t>Додаток</w:t>
      </w:r>
    </w:p>
    <w:p w:rsidR="00A62F97" w:rsidRPr="002C6402" w:rsidRDefault="00A62F97" w:rsidP="00A62F97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 w:rsidRPr="002C6402">
        <w:rPr>
          <w:rFonts w:ascii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озпорядження начальника </w:t>
      </w:r>
      <w:r w:rsidRPr="002C64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62F97" w:rsidRPr="002C6402" w:rsidRDefault="00A62F97" w:rsidP="00A62F97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обласної військової адміністрації</w:t>
      </w:r>
    </w:p>
    <w:p w:rsidR="00A62F97" w:rsidRDefault="00A62F97" w:rsidP="00A62F97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від _______________№__________</w:t>
      </w:r>
    </w:p>
    <w:p w:rsidR="00A62F97" w:rsidRPr="00AB2C0C" w:rsidRDefault="00A62F97" w:rsidP="00A62F97">
      <w:pPr>
        <w:spacing w:after="0" w:line="240" w:lineRule="auto"/>
        <w:ind w:left="106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B2C0C">
        <w:rPr>
          <w:rFonts w:ascii="Times New Roman" w:hAnsi="Times New Roman" w:cs="Times New Roman"/>
          <w:sz w:val="28"/>
          <w:szCs w:val="28"/>
          <w:lang w:eastAsia="ru-RU"/>
        </w:rPr>
        <w:t>(Додаток 3</w:t>
      </w:r>
    </w:p>
    <w:p w:rsidR="00A62F97" w:rsidRDefault="00A62F97" w:rsidP="00A62F97">
      <w:pPr>
        <w:spacing w:after="0" w:line="240" w:lineRule="auto"/>
        <w:ind w:left="106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B2C0C">
        <w:rPr>
          <w:rFonts w:ascii="Times New Roman" w:hAnsi="Times New Roman" w:cs="Times New Roman"/>
          <w:sz w:val="28"/>
          <w:szCs w:val="28"/>
          <w:lang w:eastAsia="ru-RU"/>
        </w:rPr>
        <w:t>до Програми)</w:t>
      </w:r>
    </w:p>
    <w:p w:rsidR="00260F20" w:rsidRDefault="00260F20" w:rsidP="00A62F9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62F97" w:rsidRDefault="00A62F97" w:rsidP="00A62F9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23DF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Перелік завдань, заходів і результативних показників </w:t>
      </w:r>
      <w:r w:rsidR="00260F20" w:rsidRPr="00095B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2023 рік</w:t>
      </w:r>
    </w:p>
    <w:p w:rsidR="00A62F97" w:rsidRPr="00E24F77" w:rsidRDefault="00A62F97" w:rsidP="00A62F9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23DF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розвитку освіти 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ьвівської області на 2021 – 2025</w:t>
      </w: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tbl>
      <w:tblPr>
        <w:tblpPr w:leftFromText="180" w:rightFromText="180" w:vertAnchor="text" w:tblpX="-147" w:tblpY="1"/>
        <w:tblOverlap w:val="never"/>
        <w:tblW w:w="50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5"/>
        <w:gridCol w:w="698"/>
        <w:gridCol w:w="701"/>
        <w:gridCol w:w="586"/>
        <w:gridCol w:w="76"/>
        <w:gridCol w:w="2334"/>
        <w:gridCol w:w="1839"/>
        <w:gridCol w:w="1144"/>
        <w:gridCol w:w="571"/>
        <w:gridCol w:w="9"/>
        <w:gridCol w:w="841"/>
        <w:gridCol w:w="9"/>
        <w:gridCol w:w="692"/>
        <w:gridCol w:w="9"/>
        <w:gridCol w:w="835"/>
        <w:gridCol w:w="9"/>
        <w:gridCol w:w="692"/>
        <w:gridCol w:w="9"/>
        <w:gridCol w:w="716"/>
        <w:gridCol w:w="677"/>
        <w:gridCol w:w="9"/>
        <w:gridCol w:w="598"/>
        <w:gridCol w:w="6"/>
        <w:gridCol w:w="1693"/>
        <w:gridCol w:w="6"/>
      </w:tblGrid>
      <w:tr w:rsidR="00AC6B11" w:rsidRPr="00AC6B11" w:rsidTr="003C3549">
        <w:trPr>
          <w:gridAfter w:val="1"/>
          <w:wAfter w:w="2" w:type="pct"/>
          <w:trHeight w:val="245"/>
          <w:tblHeader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11" w:rsidRPr="00AC6B11" w:rsidRDefault="00AC6B11" w:rsidP="003C35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11" w:rsidRPr="00AC6B11" w:rsidRDefault="00AC6B11" w:rsidP="003C3549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Назва цілі</w:t>
            </w:r>
          </w:p>
        </w:tc>
        <w:tc>
          <w:tcPr>
            <w:tcW w:w="7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11" w:rsidRPr="00AC6B11" w:rsidRDefault="00AC6B11" w:rsidP="003C3549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Заходи цілей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11" w:rsidRPr="00AC6B11" w:rsidRDefault="00AC6B11" w:rsidP="003C3549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Показники виконання заходу, один. виміру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11" w:rsidRPr="00AC6B11" w:rsidRDefault="00AC6B11" w:rsidP="003C3549">
            <w:pPr>
              <w:spacing w:after="0" w:line="240" w:lineRule="auto"/>
              <w:ind w:firstLine="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Виконавці </w:t>
            </w:r>
          </w:p>
          <w:p w:rsidR="00AC6B11" w:rsidRPr="00AC6B11" w:rsidRDefault="00AC6B11" w:rsidP="003C3549">
            <w:pPr>
              <w:spacing w:after="0" w:line="240" w:lineRule="auto"/>
              <w:ind w:firstLine="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завдання</w:t>
            </w:r>
          </w:p>
        </w:tc>
        <w:tc>
          <w:tcPr>
            <w:tcW w:w="187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11" w:rsidRPr="00AC6B11" w:rsidRDefault="00AC6B1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Фінансування</w:t>
            </w:r>
          </w:p>
        </w:tc>
        <w:tc>
          <w:tcPr>
            <w:tcW w:w="5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11" w:rsidRPr="00AC6B11" w:rsidRDefault="00AC6B1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Індикатори</w:t>
            </w:r>
          </w:p>
        </w:tc>
      </w:tr>
      <w:tr w:rsidR="00AC6B11" w:rsidRPr="00AC6B11" w:rsidTr="003C3549">
        <w:trPr>
          <w:gridAfter w:val="1"/>
          <w:wAfter w:w="2" w:type="pct"/>
          <w:trHeight w:val="137"/>
          <w:tblHeader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11" w:rsidRPr="00AC6B11" w:rsidRDefault="00AC6B1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11" w:rsidRPr="00AC6B11" w:rsidRDefault="00AC6B11" w:rsidP="003C3549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11" w:rsidRPr="00AC6B11" w:rsidRDefault="00AC6B11" w:rsidP="003C3549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11" w:rsidRPr="00AC6B11" w:rsidRDefault="00AC6B11" w:rsidP="003C3549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11" w:rsidRPr="00AC6B11" w:rsidRDefault="00AC6B11" w:rsidP="003C3549">
            <w:pPr>
              <w:spacing w:after="0" w:line="240" w:lineRule="auto"/>
              <w:ind w:firstLine="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11" w:rsidRPr="00AC6B11" w:rsidRDefault="00AC6B11" w:rsidP="003C3549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Джере</w:t>
            </w:r>
          </w:p>
          <w:p w:rsidR="00AC6B11" w:rsidRPr="00AC6B11" w:rsidRDefault="00AC6B11" w:rsidP="003C3549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ла*</w:t>
            </w:r>
          </w:p>
        </w:tc>
        <w:tc>
          <w:tcPr>
            <w:tcW w:w="1682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11" w:rsidRPr="00AC6B11" w:rsidRDefault="00AC6B1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Обсяги, тис. грн</w:t>
            </w:r>
          </w:p>
        </w:tc>
        <w:tc>
          <w:tcPr>
            <w:tcW w:w="5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11" w:rsidRPr="00AC6B11" w:rsidRDefault="00AC6B1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C6B11" w:rsidRPr="00AC6B11" w:rsidTr="003C3549">
        <w:trPr>
          <w:gridAfter w:val="1"/>
          <w:wAfter w:w="2" w:type="pct"/>
          <w:trHeight w:val="70"/>
          <w:tblHeader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86D" w:rsidRPr="00AC6B11" w:rsidRDefault="00A1586D" w:rsidP="003C3549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86D" w:rsidRPr="00AC6B11" w:rsidRDefault="00A1586D" w:rsidP="003C3549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86D" w:rsidRPr="00AC6B11" w:rsidRDefault="00A1586D" w:rsidP="003C3549">
            <w:pPr>
              <w:spacing w:after="0" w:line="240" w:lineRule="auto"/>
              <w:ind w:firstLine="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86D" w:rsidRPr="00AC6B11" w:rsidRDefault="00A1586D" w:rsidP="003C3549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86D" w:rsidRPr="00AC6B11" w:rsidRDefault="00A1586D" w:rsidP="003C3549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86D" w:rsidRPr="00AC6B11" w:rsidRDefault="00A1586D" w:rsidP="003C3549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  <w:p w:rsidR="00A1586D" w:rsidRPr="00AC6B11" w:rsidRDefault="00A1586D" w:rsidP="003C3549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86D" w:rsidRPr="00AC6B11" w:rsidRDefault="00A1586D" w:rsidP="003C3549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  <w:p w:rsidR="00A1586D" w:rsidRPr="00AC6B11" w:rsidRDefault="00A1586D" w:rsidP="003C3549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86D" w:rsidRPr="00AC6B11" w:rsidRDefault="00A1586D" w:rsidP="003C3549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  <w:p w:rsidR="00A1586D" w:rsidRPr="00AC6B11" w:rsidRDefault="00A1586D" w:rsidP="003C3549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Зміни до 2023 року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Усього з урахуванням змін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рік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рік</w:t>
            </w:r>
          </w:p>
        </w:tc>
        <w:tc>
          <w:tcPr>
            <w:tcW w:w="5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C6B11" w:rsidRPr="00AC6B11" w:rsidTr="003C3549"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11" w:rsidRPr="00AC6B11" w:rsidRDefault="00AC6B11" w:rsidP="003C3549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рік**</w:t>
            </w:r>
          </w:p>
        </w:tc>
      </w:tr>
      <w:tr w:rsidR="00AC6B11" w:rsidRPr="00AC6B11" w:rsidTr="003C3549"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11" w:rsidRPr="00AC6B11" w:rsidRDefault="00AC6B11" w:rsidP="003C3549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Дошкільна освіта</w:t>
            </w:r>
          </w:p>
        </w:tc>
      </w:tr>
      <w:tr w:rsidR="00AC6B11" w:rsidRPr="00AC6B11" w:rsidTr="005D2710">
        <w:trPr>
          <w:gridAfter w:val="1"/>
          <w:wAfter w:w="2" w:type="pct"/>
          <w:trHeight w:val="70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Підтримувати розроблення та апробацію освітніх програм і навчальних курсів, що дозволяють ефективно реалізувати вимоги Базового компонента дошкільної освіти та програми розвитку дитини, відповідають інтересам батьків і місцевих громад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Впровадження в ЗДО області</w:t>
            </w:r>
            <w:r w:rsidRPr="00AC6B1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інноваційних освітніх програм</w:t>
            </w: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A1586D" w:rsidRPr="00AC6B11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  <w:r w:rsidRPr="00AC6B11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міжнародної </w:t>
            </w:r>
            <w:r w:rsidRPr="00AC6B1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парціальної програми соціально-фінансової освіти дітей дошкільного віку «</w:t>
            </w:r>
            <w:proofErr w:type="spellStart"/>
            <w:r w:rsidRPr="00AC6B1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Афлатот</w:t>
            </w:r>
            <w:proofErr w:type="spellEnd"/>
            <w:r w:rsidRPr="00AC6B1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AC6B11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(Нідерланди)</w:t>
            </w:r>
            <w:r w:rsidRPr="00AC6B1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A1586D" w:rsidRPr="00AC6B11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1586D" w:rsidRPr="00AC6B11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авторської комплексної оздоровчої програми «</w:t>
            </w:r>
            <w:proofErr w:type="spellStart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Нехворійко</w:t>
            </w:r>
            <w:proofErr w:type="spellEnd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»;</w:t>
            </w:r>
          </w:p>
          <w:p w:rsidR="00A1586D" w:rsidRPr="00AC6B11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AC6B11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в) парціальної програми з духовно-морального виховання «Зерно любові». </w:t>
            </w:r>
          </w:p>
          <w:p w:rsidR="00A1586D" w:rsidRPr="00AC6B11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AC6B11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Створення програмно-методичного забезпечення для цих програм.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Витрат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 наданих послуг (тис. грн)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Кількість ЗДО, що працюють за програмою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Кількість дошкільнят, які навчаються за програмою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Ефективності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дошкільника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  <w:r w:rsidRPr="00AC6B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Забезпечення потреби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ДОН ЛОДА 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ОБ</w:t>
            </w:r>
          </w:p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A1586D" w:rsidRPr="00AC6B11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6D" w:rsidRPr="005D2710" w:rsidRDefault="00CF7A20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Виконані роботи та над</w:t>
            </w:r>
            <w:r w:rsidR="00CF7A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ані послуги </w:t>
            </w: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1586D" w:rsidRPr="00AC6B11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Охоплені програмами 32 ЗДО, 480 дошкільнят</w:t>
            </w:r>
          </w:p>
          <w:p w:rsidR="00A1586D" w:rsidRPr="00AC6B11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(орієнтовно)</w:t>
            </w:r>
          </w:p>
          <w:p w:rsidR="00A1586D" w:rsidRPr="00AC6B11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AC6B11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Витрати на одну дитину  197,9 грн (орієнтовно)</w:t>
            </w:r>
          </w:p>
          <w:p w:rsidR="00A1586D" w:rsidRPr="00AC6B11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AC6B11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Випущено 3 методичні посібники (до 2,5 </w:t>
            </w:r>
            <w:proofErr w:type="spellStart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др</w:t>
            </w:r>
            <w:proofErr w:type="spellEnd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арк</w:t>
            </w:r>
            <w:proofErr w:type="spellEnd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  <w:p w:rsidR="00A1586D" w:rsidRPr="00AC6B11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AC6B11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Дошкільнятам забезпечено </w:t>
            </w: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якісний виховний простір</w:t>
            </w:r>
          </w:p>
        </w:tc>
      </w:tr>
      <w:tr w:rsidR="00AC6B11" w:rsidRPr="00AC6B11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Підтримувати ініціативи, спрямовані на саморозвиток спільнот ЗДО, </w:t>
            </w:r>
            <w:proofErr w:type="spellStart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самооцінювання</w:t>
            </w:r>
            <w:proofErr w:type="spellEnd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якості та ефективності освітнього процесу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AC6B11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Забезпечення  наступності в упровадженні особистісно-орієнтованої моделі змісту освіти, передбаченої  Базовим компонентом дошкільної освіти та Державним стандартом початкової освіти, через: </w:t>
            </w:r>
          </w:p>
          <w:p w:rsidR="00A1586D" w:rsidRPr="00AC6B11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AC6B11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а) </w:t>
            </w:r>
            <w:proofErr w:type="spellStart"/>
            <w:r w:rsidRPr="00AC6B11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щосеместрові</w:t>
            </w:r>
            <w:proofErr w:type="spellEnd"/>
            <w:r w:rsidRPr="00AC6B11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спільні конференції (онлайн-конференції) вихователів ЗДО та вчителів початкової школи (класних керівників) для обміну досвідом і </w:t>
            </w:r>
            <w:proofErr w:type="spellStart"/>
            <w:r w:rsidRPr="00AC6B11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взаємонавчання</w:t>
            </w:r>
            <w:proofErr w:type="spellEnd"/>
            <w:r w:rsidRPr="00AC6B11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; </w:t>
            </w:r>
          </w:p>
          <w:p w:rsidR="00A1586D" w:rsidRPr="00AC6B11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AC6B11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б) створення програмно-методичного забезпечення наступності між дошкільною і початковою освітою та ін.</w:t>
            </w:r>
          </w:p>
          <w:p w:rsidR="00A1586D" w:rsidRPr="00AC6B11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робіт, наданих послуг (тис. грн)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Кількість онлайн-конференцій вихователів ЗДО та вчителів початкової школи.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Загальний обсяг програмно-методичних розробок (</w:t>
            </w:r>
            <w:proofErr w:type="spellStart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др.арк</w:t>
            </w:r>
            <w:proofErr w:type="spellEnd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Ефективності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надані послуги на одного користувача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Забезпечення потреби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КЗ ЛОР «ЛОІППО»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Проведено 4 </w:t>
            </w:r>
            <w:proofErr w:type="spellStart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вебінари</w:t>
            </w:r>
            <w:proofErr w:type="spellEnd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та 1 науково-практичну конференцію вихователів ЗДО та вчителів початкової школи (орієнтовно 210 осіб).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Підготовлено до друку </w:t>
            </w:r>
            <w:proofErr w:type="spellStart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навч</w:t>
            </w:r>
            <w:proofErr w:type="spellEnd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.-метод. </w:t>
            </w:r>
            <w:proofErr w:type="spellStart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посібн</w:t>
            </w:r>
            <w:proofErr w:type="spellEnd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заг</w:t>
            </w:r>
            <w:proofErr w:type="spellEnd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обс</w:t>
            </w:r>
            <w:proofErr w:type="spellEnd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4 </w:t>
            </w:r>
            <w:proofErr w:type="spellStart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др</w:t>
            </w:r>
            <w:proofErr w:type="spellEnd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арк</w:t>
            </w:r>
            <w:proofErr w:type="spellEnd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надані послуги на одного педагога становить  476 гривень.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Забезпечено наступність </w:t>
            </w:r>
            <w:r w:rsidRPr="00AC6B1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упровадженні особистісно-орієнтованої моделі змісту освіти</w:t>
            </w: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 30 ЗДО</w:t>
            </w:r>
          </w:p>
        </w:tc>
      </w:tr>
      <w:tr w:rsidR="00AC6B11" w:rsidRPr="00AC6B11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Організація  освітнього середовища в закладах дошкільної освіти за критеріями якості з методики ECERS-3 (у межах всеукраїнського </w:t>
            </w:r>
            <w:proofErr w:type="spellStart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проєкту</w:t>
            </w:r>
            <w:proofErr w:type="spellEnd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 освоєння методики ECERS-3, моніторингу та підвищення якості освітнього середовища у пілотних ЗДО)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 (тис. грн)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К-ть ЗДО, охоплених ECERS-3 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Ефективності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один ЗДО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Продуктивність запропонованих змін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КЗ ЛОР «ЛОІППО»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Надано послуг (</w:t>
            </w:r>
            <w:proofErr w:type="spellStart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вебінари</w:t>
            </w:r>
            <w:proofErr w:type="spellEnd"/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/семінари з методики ECERS-3, обстеження ЗДО)  </w:t>
            </w:r>
          </w:p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один ЗДО – 15 тис. гривень.</w:t>
            </w:r>
          </w:p>
          <w:p w:rsidR="00A1586D" w:rsidRPr="00AC6B11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 ЗДО напрацювали індивідуальну </w:t>
            </w: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стратегію розвитку відповідно до результатів дослідження ECERS-3.</w:t>
            </w:r>
          </w:p>
          <w:p w:rsidR="00A1586D" w:rsidRPr="00AC6B11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6B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ЗДО, що обрали програму, створено якісне освітнє середовище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AC6B11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Загалом коштів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CF7A20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CF7A20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1586D"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B11" w:rsidRPr="005D2710" w:rsidTr="003C3549"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2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 середня освіта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Підтримувати розроблення та апробацію освітніх програм і навчальних курсів, що дозволяють ефективно реалізувати стандарти початкової та базової загальної освіти, відповідають запитам і потребам учнів і місцевих громад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«Інноваційні програми і дидактичне забезпечення для осучаснення освітнього процесу». Обласний конкурс авторських загальноосвітніх навчальних програм і матеріалів. Апробація програм та дидактичних матеріалів переможців конкурсу в ЗЗСО Львівщини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премій, виконаних робіт та 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авторських програм.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Обсяг дидактичних матеріалів (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др.арк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Результати апробації програм і матеріалів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Грифування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програм і матеріалів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220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Відібрано до 5 програм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компетентнісно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 орієнтованих навчальних предметів (інтегрованих курсів).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Розроблено до 25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проєктів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 навчальної та навчально-методичної літератури до програм-переможниць конкурсу (посібників для вчителя, зошитів для учнів тощо).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Премійовано  авторів, авторські колективи, які перемогли на конкурсі (преміальна сума 25 тис. гривень).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lastRenderedPageBreak/>
              <w:t xml:space="preserve">Проведено промоцію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проєктів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, що перемогли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б)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«“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TeenSTAR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”: статеве виховання в контексті дорослої відповідальності». Впровадження у ЗЗСО програми статевого виховання молоді “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TeenSTAR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” (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Sexuality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Teaching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in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the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context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of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Adult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Responsibility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“Навчання статевої поведінки у контексті дорослої відповідальності”). Тренінги для педагогів та пілотні курси для школярів Львівщини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Сумарна вартість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Обсяг навчальних занять для вчителів та учнів (год.) 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педагогів та учнів, охоплених програмою (%)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Відповідність запропонованого змісту навчання програмі та вимогам до якості наданих послуг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КЗ ЛОР «ЛОІППО»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Комісія освіти і виховання УГКЦ;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NGO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TeenSTAR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Österreich</w:t>
            </w:r>
            <w:proofErr w:type="spellEnd"/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УКУ Український католицький університет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Програму «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TeenSTAR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» адаптовано. 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Перекладено матеріали програми українською мовою загальним обсягом до 3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др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арк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Прочитано ознайомчий спецкурс (8 год.).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Підвищено професійний рівень педагогів Львівщини з питань  статевого виховання молоді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Організовувати різного виду змагання між учасниками освітнього процесу з метою виявлення їхніх обдарувань, розвитку креативності та вольових якостей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«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Книгокрай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». 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Формування навичок читацької культури, підвищення рівня читацької грамотності й мотивації школярів до читання книжок за допомогою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інформаційно-ігрової електронної платформи для вдумливих читачів дитячого віку. Наповнення е-платформи контентом. Нагородження кращих читачів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Загальна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Інформаційно-ігрова електронна платформа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Відповідність продукту розробленому технічному завданню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К-ть учнів, які розвивають навички читача як користувачі платформи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ДОН ЛОДА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КЗ ЛОР «ЛОНПБ»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Створено та запущено електронну платформу для вдумливого читання.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Сформовано контент для е-платформи загальним обсягом 5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др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.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арк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.  (орієнтовно). 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Зареєстровано 10% ЗЗСО, 5% класів, 3%  учнів.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lastRenderedPageBreak/>
              <w:t>Підвищено рівень читацької грамотності і мотивації учнів до читання книг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Підвищити ефективність освітнього процесу через впровадження сучасних технологій та засобів навчання, зокрема  дистанційне та змішане навчання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 «Дидактичне забезпечення змішаного та дистанційного навчання». 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Обласний конкурс навчальних матеріалів до змістових модулів чинних загальноосвітніх навчальних програм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Загальна вартість 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Сумарний обсяг навчальних матеріалів (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др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арк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.)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продукт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Відповідність матеріалів вимогам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2105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CF7A20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-600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CF7A20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Виділено на преміальні та надано пос</w:t>
            </w:r>
            <w:r w:rsidR="00CF7A20"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луг 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Розроблено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електронному форматі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якісних навчальних матеріалів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 до 120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(орієнтовно) окремих змістових модулів чинних програм навчальних предметів (інтегрованих курсів). 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Розробників-переможців нагороджено преміями 21 тис. гривень. Апробацією цих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матеріалів охоплено мінімум 2500 учнів та 100 вчителів</w:t>
            </w:r>
          </w:p>
        </w:tc>
      </w:tr>
      <w:tr w:rsidR="00AC6B11" w:rsidRPr="005D2710" w:rsidTr="003C3549">
        <w:trPr>
          <w:gridAfter w:val="1"/>
          <w:wAfter w:w="2" w:type="pct"/>
          <w:trHeight w:val="187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«Ательє візуальних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проєктів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». Створення сучасної знімальної студії. Забезпечення візуального контенту освітнього процесу та візуального супроводу освітніх заходів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Сумарна вартість закупленого обладнання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 виконаних робіт / 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К-ть виробленого візуального продукту (байти)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продукт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Забезпечення  потреби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КЗ ЛОР «ЛОІППО»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Створено аудіовізуальні матеріали для змістових модулів програм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навч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. предметів загальним обсягом до 1,5 мегабайт.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Змонтовано відеоролики для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lastRenderedPageBreak/>
              <w:t xml:space="preserve">популяризації Стратегії розвитку освіти Львівщини та інших освітніх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проєктів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Забезпечено візуальний супровід освітніх заходів, передбачених Програмою розвитку освіти Львівщини. 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Аудіовізуальний  контент розміщено на освітніх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вебсайтах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 та каналах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val="en-US" w:eastAsia="it-IT"/>
              </w:rPr>
              <w:t>Youtube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,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val="en-US" w:eastAsia="it-IT"/>
              </w:rPr>
              <w:t>Facebook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Оберігати здоров’я учасників освітнього процесу 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«Школа сприяння здоров’ю». Залучення педколективів ЗЗСО до розбудови здорового середовища із застосуванням апробованого інструменту самооцінки і вдосконалення ЗЗСО «Індекс здоров’я школи». Розроблення методичних матеріалів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Загальна вартість 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педколективів, що застосовують</w:t>
            </w: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інструмент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самооцінювання</w:t>
            </w:r>
            <w:proofErr w:type="spellEnd"/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Відповідність середовища критеріям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Забезпечення  потреби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КЗ ЛОР «ЛОІППО»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УКУ-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Залучено  в 21 ТГ по одній школі до процесу самооцінки і вдосконалення ЗЗСО із застосуванням «Індексу здоров</w:t>
            </w:r>
            <w:r w:rsidRPr="005D2710">
              <w:rPr>
                <w:rFonts w:ascii="Times New Roman" w:hAnsi="Times New Roman" w:cs="Times New Roman"/>
                <w:color w:val="333333"/>
                <w:sz w:val="20"/>
                <w:szCs w:val="20"/>
                <w:lang w:eastAsia="ru-RU"/>
              </w:rPr>
              <w:t>’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школи».</w:t>
            </w:r>
          </w:p>
          <w:p w:rsidR="00A1586D" w:rsidRPr="005D2710" w:rsidRDefault="00A1586D" w:rsidP="003C35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Підготовлено метод. рекомендації, закладено базу даних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проєкту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1586D" w:rsidRPr="005D2710" w:rsidRDefault="00A1586D" w:rsidP="003C35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Розроблено програму спецкурсу  і підготовлено  координаторів  (1 представник  від школи) шкільних команд з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визначення ІЗШ (очно-дистанційна форма,    8 год.) 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6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Підтримувати ініціативи, спрямовані на саморозвиток спільнот ЗЗСО,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самооцінювання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якості та ефективності освітнього процесу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«Оцінювання якості освітнього середовища: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 е-інструментарій виміру показників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». Розроблення та впровадження технології оцінювання (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самооцінювання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) якості освітнього середовища ЗЗСО як виховного простору з використанням електронного інструментарію вимірювання показників (анкет та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датабази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результатів досліджень)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Е-анкети та е-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рограми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для накопичування даних.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К-ть ЗЗСО, які використовують інструментарій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Оволодіння технологією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Виконано робіт/надано послуг на суму                  100 тис. гривень.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Розроблено 3 електронні анкети та базу даних якості виховного простору ЗЗСО. 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Підготовано до друку навчально-методичний посібник з описом технології дослідження якості виховного простору і організації професійного розвитку педагогічних працівників щодо вимірювання та аналізу результатів досліджень.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Проведено 2 тренінги для пед. персоналу 10 ЗЗСО, де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апробовуватиметься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 інструментарій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«Ефективність освітніх мереж територіальних громад Львівщини». Моніторинг функціонування ЗЗСО у територіальних громадах та якості надаваних цими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закладами послуг з метою оцінки ефективності та сприяння оптимізації мережі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К-ть громад та ЗО, які скористалися послугами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 громад, яким надано послуги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Відповідність наданих послуг запитам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ДОН ЛОДА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КЗ ЛОР «ЛОІППО»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Проведено промоцію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проєкту</w:t>
            </w:r>
            <w:proofErr w:type="spellEnd"/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Створено матрицю бази даних про стан освітньої мережі ТГ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Стимулювати професійне зростання педагогічних працівників. Запровадити систему науково-педагогічної підтримки педагогічних кадрів ЗЗСО 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«Освітній Еверест». Створення при опорних ЗЗСО постійно діючих тренінгових центрів професійного зростання педагогічних працівників для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взаємонавчання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 розроблення інструментарію формувального оцінювання, правильників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внутрішньошкільного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заохочення та оцінювання, орієнтованих на стимулювання особистісного розвитку дитини.  Створення методичних матеріалів для вчителя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педагогів, які користуються послугами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педагога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Оволодіння методикою викладання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ЦПР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ОУОТГ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CF7A20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Виконано  робіт/надано послуг на суму 350 тис грн 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Створено 7 тренінгових центрів педагогічних працівників.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Сформовано тематику тренінгів та засідань методичних об’єднань педпрацівників на 2022-2023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навч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. рік.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Послугами центрів користуються 10% педагогів.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Розроблено метод. мат-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ів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загальним обсягом до 2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др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арк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Налагоджено ефективну роботу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внутрішкільної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 системи забезпечення якості освіти у ЗЗСО, які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lastRenderedPageBreak/>
              <w:t>користуються послугами центрів.</w:t>
            </w:r>
          </w:p>
        </w:tc>
      </w:tr>
      <w:tr w:rsidR="00AC6B11" w:rsidRPr="005D2710" w:rsidTr="003C3549">
        <w:trPr>
          <w:gridAfter w:val="1"/>
          <w:wAfter w:w="2" w:type="pct"/>
          <w:trHeight w:val="155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10.</w:t>
            </w: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Розвиток мережі центрів професійного розвитку педагогічних працівників області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(у тисячах грн.)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Кількість створених та обладнаних ЦПР 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Ефективності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 педагогів, яким надано послуги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Відповідність результатів оцінювання педагогами роботи ЦПР вимогам до якості наданих послуг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КЗ ЛОР «ЛОІППО»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 «Центр освітніх ініціатив»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ІД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C02EDE" w:rsidRPr="005D2710" w:rsidRDefault="00C02EDE" w:rsidP="00C02ED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C02E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A1586D" w:rsidRPr="005D2710" w:rsidRDefault="00A1586D" w:rsidP="00C02E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A1586D" w:rsidRPr="005D2710" w:rsidRDefault="00A1586D" w:rsidP="003C354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  <w:p w:rsidR="00A1586D" w:rsidRPr="005D2710" w:rsidRDefault="00A1586D" w:rsidP="003C354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Створено та облаштовано не менше 30 ЦПР.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ind w:left="-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Надано послуги не менше 90% педагогів.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ind w:left="-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80% педагогів оцінюють роботу  ЦПР як таку, що відповідає їх вимогам до професійного зростання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Преміювання педагогічних працівників Львівщини, 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діяльність яких вирізняється творчим підходом та методичними знахідками (конкурс «Вчитель року» та ін.), в тому числі видатних працівників освіти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премій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Оптимальність преміальних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Визнання справедливості та об’єктивності преміювання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6" w:rsidRPr="005D2710" w:rsidRDefault="00432B46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A1586D" w:rsidRPr="005D2710" w:rsidRDefault="00A1586D" w:rsidP="003C354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432B46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Відзначено преміями  приблизно 50 педагогів області</w:t>
            </w:r>
          </w:p>
          <w:p w:rsidR="00A1586D" w:rsidRPr="005D2710" w:rsidRDefault="00A1586D" w:rsidP="003C3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однієї премії – оптимальна (14 000 гривень)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90 % опитаних із вибірки отримувачів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вигод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визнають  об’єктивність та справедливість преміювання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Модернізувати мережу ЗЗСО області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«НУШ: кроки впровадження». Формування мережі ліцеїв (трансформація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санаторних шкіл, моделювання, набуття статусу, формування матеріально-технічної і навчально-методичної бази та ін.). Приведення у відповідність до чинного законодавства установчих документів ЗЗСО та ін.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Сумарна вартість придбаних матеріалів та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обладнання / виконаних робіт / 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Комплекти установчих документів для академічних ліцеїв (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др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арк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.).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Комплекти обладнання для академічних ліцеїв.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відремонтованих приміщень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Частота використання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примцщень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та обладнання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Забезпечення  потреби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432B46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432B46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Складено карту та розроблено комплекти установчих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документів для академічних ліцеїв (до 5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др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арк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.).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Розраховано потреби ліцеїв у ремонтних роботах та обладнанні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B11" w:rsidRPr="005D2710" w:rsidTr="003C3549">
        <w:trPr>
          <w:gridAfter w:val="1"/>
          <w:wAfter w:w="2" w:type="pct"/>
          <w:trHeight w:val="180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Загалом коштів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1645,5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2235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CF7A20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3450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CF7A20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-600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CF7A20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2850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7910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7910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F98" w:rsidRPr="005D2710" w:rsidTr="003C3549"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98" w:rsidRPr="005D2710" w:rsidRDefault="00446F98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63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6F98" w:rsidRPr="005D2710" w:rsidRDefault="003C3549" w:rsidP="003C3549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Спеціальна освіта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</w:rPr>
              <w:t>Оновлення матеріально-технічної бази закладів освіти обласного підпорядкування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придбаного обладнання/виконаних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здобувачів, які користуються обладнанням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Частота використання обладнання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Зростання ефективності навчання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7653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1430,1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432B46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432B46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1430,1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Придбано обладнання  на суму 1,4 млн. грн.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Підтримувати ініціативи з розроблення змісту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допрофільної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підготовки та профільного навчання, забезпечення інклюзивного професійного навчання у спеціальних ЗЗСО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Впровадження профільного навчання за спеціальностями «масажист», «перукар», «кухар», «швачка», «столяр» та ін. для учнів 10-13 класів спеціальних освітніх закладів ЛОР. Профорієнтаційні </w:t>
            </w:r>
            <w:proofErr w:type="spellStart"/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проєкти</w:t>
            </w:r>
            <w:proofErr w:type="spellEnd"/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  «Хочу. Можу. Буду». </w:t>
            </w:r>
            <w:proofErr w:type="spellStart"/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Підгірцівська</w:t>
            </w:r>
            <w:proofErr w:type="spellEnd"/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спецшкола та Бориславський НРЦ «Гармонія»; б) «Соціальне шкільне підприємництво». НРЦ </w:t>
            </w:r>
            <w:proofErr w:type="spellStart"/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Св</w:t>
            </w:r>
            <w:proofErr w:type="spellEnd"/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Миколая та </w:t>
            </w:r>
            <w:proofErr w:type="spellStart"/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Підкамінська</w:t>
            </w:r>
            <w:proofErr w:type="spellEnd"/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СШ І-ІІІ ст.. (у співпраці з </w:t>
            </w:r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Фондом «Східна Європа» разом із </w:t>
            </w:r>
            <w:proofErr w:type="spellStart"/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ChildFund</w:t>
            </w:r>
            <w:proofErr w:type="spellEnd"/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Deutschland</w:t>
            </w:r>
            <w:proofErr w:type="spellEnd"/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e.V</w:t>
            </w:r>
            <w:proofErr w:type="spellEnd"/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. за фінансової підтримки Федерального Міністерства економічного співробітництва та розвитку Німеччини</w:t>
            </w:r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придбаного обладнання/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здобувачів, які користуються послугами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Частота використання обладнання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Забезпечення  потреби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6" w:rsidRPr="005D2710" w:rsidRDefault="00432B46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432B46" w:rsidRPr="005D2710" w:rsidRDefault="00432B46" w:rsidP="003C354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32B46" w:rsidRPr="005D2710" w:rsidRDefault="00432B46" w:rsidP="003C354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32B46" w:rsidRPr="005D2710" w:rsidRDefault="00432B46" w:rsidP="003C354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32B46" w:rsidRPr="005D2710" w:rsidRDefault="00432B46" w:rsidP="003C354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32B46" w:rsidRPr="005D2710" w:rsidRDefault="00432B46" w:rsidP="003C354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432B46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Придбано обладнання / виконано  робіт / надано послуг на суму 200       тис грн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Покращено матеріальну базу кабінетів трудового навчання.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Користуються послугами та обладнанням  310 учнів. 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Обладнання регулярно використовується.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Зросла роль допрофесійної підготовки учнів з ООП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Пролонгація науково-педагогічного експерименту 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освітньо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-соціально-культурного центру Святого Миколая. Підтримка й розгортання розробленої в НРЦ системи корекційно-виховного впливу на розвиток особистості та реабілітацію в позаурочний час дітей шкільного віку з порушеннями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психофізичного розвитку; розширення та впровадження набутого досвіду в практику інших ЗЗСО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Сумарна вартість придбаних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товаріа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здобувачів, які користуються послугами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Позитивний вплив на особистісний розвиток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5300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6593,2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432B46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432B46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6593,2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Придбано товарів / виконано робіт / надано послуг вартістю до 6593,2  тис. гривень.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Створено модель корекційно-виховного впливу на розвиток особистості та реабілітацію в позаурочний час дітей шкільного віку з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порушеннями психофізичного розвитку.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color w:val="141414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color w:val="141414"/>
                <w:sz w:val="20"/>
                <w:szCs w:val="20"/>
                <w:lang w:eastAsia="ru-RU"/>
              </w:rPr>
              <w:t xml:space="preserve">Послугами </w:t>
            </w:r>
            <w:proofErr w:type="spellStart"/>
            <w:r w:rsidRPr="005D2710">
              <w:rPr>
                <w:rFonts w:ascii="Times New Roman" w:hAnsi="Times New Roman" w:cs="Times New Roman"/>
                <w:color w:val="141414"/>
                <w:sz w:val="20"/>
                <w:szCs w:val="20"/>
                <w:lang w:eastAsia="ru-RU"/>
              </w:rPr>
              <w:t>освітньо</w:t>
            </w:r>
            <w:proofErr w:type="spellEnd"/>
            <w:r w:rsidRPr="005D2710">
              <w:rPr>
                <w:rFonts w:ascii="Times New Roman" w:hAnsi="Times New Roman" w:cs="Times New Roman"/>
                <w:color w:val="141414"/>
                <w:sz w:val="20"/>
                <w:szCs w:val="20"/>
                <w:lang w:eastAsia="ru-RU"/>
              </w:rPr>
              <w:t>-соціально-культурних центрів користуються до 70 учнів з ООП.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Проведено науково-практичний семінар та створено рекомендації  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6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Посилювати спроможність закладів освіти компенсуючого типу до потреб користувачів освітніх послуг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Створення на базі НРЦ «Гармонія» </w:t>
            </w:r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Парку просторового орієнтування для дітей з порушеннями опорно-рухового апарату (тренажери, тенісна зона, міні-футбольне поле, зона відпочинку, зона сенсорного розвитку)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здобувачів, які користуються послугами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Позитивний вплив на фізичний стан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КЗ ЛОР «Навчально-реабілітаційний центр І-ІІ ступенів «Гармонія»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Придбано частину обладнання та виконано низку робіт зі створення Парку просторового орієнтування для дітей з порушеннями опорно-рухового апарату у НРЦ «Гармонія» 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Послугами, що їх можна отримати в парку, користуються до 100 учнів.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Забезпечується розвиток індивідуальних можливостей осіб з ОПП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Забезпечення безперешкодного доступу до закладів освіти </w:t>
            </w:r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(пандусами, ліфтами та іншими елементами архітектурної доступності)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Сумарна вартість виконаних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закладів з безперешкодним доступом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один заклад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Забезпечення  потреби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Сформовано перелік відсутніх у закладах освіти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елементів архітектурної доступності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Встановлено ліфт 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Стимулювати професійне зростання педагогічних працівників спеціальних ЗЗСО, у тому числі розвивати професійні цифрові компетентності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Проведення педагогічних конференцій, семінарів, круглих столів для обміну досвідом роботи з дітьми з особливими освітніми потребами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здобувачів, які користуються послугами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Середня вартість витрат на учасника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Набуття досвіду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Учасниками</w:t>
            </w:r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педагогічних конференцій, семінарів, круглих столів для обміну досвідом роботи з дітьми з особливими освітніми потребами стали до 70% педпрацівників закладів спеціальної освіти.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80% опитаних визнають, що проведені заходи збагатили їх досвідом роботи з дітьми з ООП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Забезпечити оздоровлення учнів (вихованців) закладів освіти обласного підпорядкування, внутрішньо переміщених дітей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Забезпечення оздоровлення учнів  (вихованців) закладів освіти обласного підпорядкування (діти-сироти та діти, позбавлені батьківського піклування),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внутрішньо переміщених дітей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К-ть здобувачів, які користуються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послугами оздоровлення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Забезпечення  потреби (%)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CF7A20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+1000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CF7A20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B717C"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Забезпечено оздоровлення 100% учнів  (вихованців) закладів освіти обласного підпорядкування (діти-сироти, діти,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позбавлені батьківського піклування), внутрішньо переміщених дітей, які перебувають в спеціальних закладах освіти обласного підпорядкування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Створити належні умови навчання та перебування учнів у закладах освіти обласного підпорядкування 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Зміцнення матеріально-технічної бази закладів освіти  обласного підпорядкування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здобувачів, які користуються послугами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Відповідність очікуванням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Оновлено та покращено матеріально-технічну базу закладів освіти обласного підпорядкування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Створити дітям з особливими освітніми потребами належні умови отримання психолого-педагогічних, корекційно-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розвиткових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послуг  у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інклюзивно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-ресурсних центрах 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Оновлення матеріально-технічної бази, проведення ремонтів новостворених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інклюзивно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-ресурсних центрів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здобувачів, які користуються послугами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Якості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Відповідність очікуванням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9E4D85"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Оновлено та покращено матеріально-технічну базу, проведено ремонтів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інклюзивно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-ресурсних центрів  області на умовах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співфінансування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коштів з місцевих бюджетів (50/50)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Загалом коштів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10966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19953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12223,3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CF7A20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+1000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CF7A20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DB717C"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14720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14720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B11" w:rsidRPr="005D2710" w:rsidTr="003C3549"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2" w:type="pct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Позашкільна та спеціалізована освіта</w:t>
            </w:r>
          </w:p>
        </w:tc>
      </w:tr>
      <w:tr w:rsidR="00AC6B11" w:rsidRPr="005D2710" w:rsidTr="003C3549">
        <w:trPr>
          <w:gridAfter w:val="1"/>
          <w:wAfter w:w="2" w:type="pct"/>
          <w:trHeight w:val="187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Посилити спроможність Малої академії наук та створити умови для інноваційної діяльності інших закладів позашкільної освіти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«Львівська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кіношкола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». Створення на базі ЛОЦНТТУМ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кіношколи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яка матиме навчальні курси: операторський; сценарний; монтажу;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кольорокорекції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звукорежисерський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 мультиплікації та інші.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здобувачів, які користуються послугами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Відповідність очікуванням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КЗ ЛОР ЛОЦНТТУМ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Розроблено концепцію та кошторис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проєкту</w:t>
            </w:r>
            <w:proofErr w:type="spellEnd"/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Закуплено обладнання та матеріалів для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кіношколи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Розроблено навчальні програми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Проведено набір в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кіношколу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(до 15 осіб на кожний факультет)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Виготовлено навчальні відеоролики учнів школи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«Вікно в природу». Проведення заходів з оновлення еколого-освітньої виставки «Планета ЗОО» та забезпечення доступу до неї (пандус та ін.) осіб з ООП, розвитку здібностей та обдарувань цих дітей в процесі відвідування виставки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закуплених матеріалів/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здобувачів, які користуються послугами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Позитивний вплив на особистісний розвиток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КЗ ЛОР ЛОЦЕНТУМ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Закуплено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матеріаліав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виконано  робіт/надано послуг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Відвідало виставку 1280 учнів.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 становить                        140,6 гривень.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 80% опитаних відвідувачів висловили думку, що здобули нові знання та зацікавились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життям тварин і птахів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Проведення заходів Всеукраїнської дитячо-юнацької військово-патріотичної гри «Сокіл» («Джура»)  в закладах 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Проведення заходів Всеукраїнської дитячо-юнацької військово-патріотичної гри «Сокіл» («Джура»)  в закладах професійної (професійно-технічної) освіти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закуплених матеріалів/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здобувачів, які користуються послугами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Позитивний вплив на особистісний розвиток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Проведено І етап</w:t>
            </w:r>
            <w:r w:rsidRPr="005D27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Всеукраїнської дитячо-юнацької військово-патріотичної гри «Сокіл» («Джура»)  в закладах професійної (професійно-технічної) освіти</w:t>
            </w:r>
          </w:p>
        </w:tc>
      </w:tr>
      <w:tr w:rsidR="00AC6B11" w:rsidRPr="005D2710" w:rsidTr="003C3549">
        <w:trPr>
          <w:gridAfter w:val="1"/>
          <w:wAfter w:w="2" w:type="pct"/>
          <w:trHeight w:val="438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Підвищити ефективність освітнього процесу через впровадження сучасних технологій та засобів навчання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Еко STEM – лабораторія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». Розширення доступу здобувачів неформальної освіти природознавчого спрямування будь-якого віку і педагогічних працівників до наукових спостережень, іншої дослідницької діяльності, організації моніторингу стану довкілля на базі укомплектованої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в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ЛОЦЕНТУМ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Еко STEM – лабораторії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закупленого обладнання/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здобувачів, які користуються послугами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Позитивний вплив на особистісний розвиток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КЗ ЛОР ЛОЦЕНТУМ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Закуплено обладнання/ виконано робіт/надано послуг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Скористалися освітніми послугами до 2 тис. учнів.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 – 125 гривень.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 80% опитаних користувачів виявили інтерес до наукових спостережень та організації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моніторингу стану довкілля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Оновлення матеріально-технічної бази, проведення ремонтів закладів, установ освіти обласного підпорядкування та позашкільних закладів області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закуплених меблів та  обладнання/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здобувачів, які користуються оновленою базою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Забезпечення  потреби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CF7A20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</w:t>
            </w:r>
            <w:r w:rsidR="00A1586D"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04,3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CF7A20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9404,3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Закуплено обладнання/виконано робіт/надано послуг сумарною вартістю до 7404,3 тис. гривень.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Надано субвенцію місцевим бюджетам області на суму 2000 тис. грн. на умовах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співфінасування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коштів з місцевих бюджетів (50/50)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Підвищити ефективність освітнього процесу через впровадження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сучасних технологій та засобів навчання 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Відвідування музеїв, навчальних лабораторій. 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Проведення виїзних виставок, книжкових ярмарків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Сумарна вартість придбаних матеріалів/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здобувачів, які взяли участь у заходах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Позитивний вплив на особистісний розвиток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ДОН ЛОДА, заклади позашкільної освіти,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відділи освіти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ТГ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DE7F71"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Налагоджено співпрацю з Музеєм науки              м. Львова.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Відвідало Музей науки 3,5 тис. учнів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Проведено 10 виїзних виставок книжкових ярмарок 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Загалом коштів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1820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CF7A20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104</w:t>
            </w:r>
            <w:r w:rsidR="00A1586D"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10454,3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3320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3320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B11" w:rsidRPr="005D2710" w:rsidTr="003C3549"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2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Професійна (професійно-технічна) та фахова </w:t>
            </w:r>
            <w:proofErr w:type="spellStart"/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передвища</w:t>
            </w:r>
            <w:proofErr w:type="spellEnd"/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освіта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Зміцнення матеріально-технічної бази закладів освіти 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Проведення ремонтів, придбання матеріалів та обладнання в закладах професійно-технічної освіти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Оновлення матеріально-технічної бази закладів професійно-технічної освіти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Створення навчально-практичних центрів на базі закладів професійно-технічної освіти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НПЦ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Забезпечення  потреби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3200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17300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31659,6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1D3AA3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911F3F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316</w:t>
            </w:r>
            <w:r w:rsidR="001D3AA3"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Придбано матеріалів та обладнання</w:t>
            </w:r>
            <w:r w:rsidR="00911F3F"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 виконано робіт сумарно до 316</w:t>
            </w:r>
            <w:r w:rsidR="001D3AA3"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9,6  тис. грн.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Отримали покращені освітні потреби 20 122 учні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Оновлення  матеріально-технічної бази закладів освіти обласного підпорядкування 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Покращення матеріально-технічної бази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закладів освіти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Проведення протипожежних заходів, відеоспостереження, ремонт та облаштування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укриттів</w:t>
            </w:r>
            <w:proofErr w:type="spellEnd"/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Комплекти обладнання.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К-ть здобувачів, які користуються обладнанням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один заклад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Забезпечення  потреби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ІД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880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Придбано матеріалів та обладнання, виконано робіт/надано послуг  на суму 1000 тис. грн.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Застосовувати механізм публічно-приватного партнерства в професійній (професійно-технічній) освіті (спільне фінансування закладів освіти,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професійно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-практична підготовка)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Розвиток професійної освіти регіону. Створення центрів кваліфікації на базі закладів професійно-технічної освіти  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створених наглядових рад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закладів з дуальною формою освіти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Участь роботодавців у роботі НР.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Оновлені освітні програми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Ефективні програми  співпраці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профосвіти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 суб’єктами господарювання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Грант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827695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Виконано  робіт/надано послуг </w:t>
            </w:r>
            <w:r w:rsidR="003E52EE"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Створено наглядові ради при усіх ЗП(ПТ)О області.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Членами НР в усіх ЗП(ПТ)О області стали підприємці.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Розроблено програми  співпраці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профосвіти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із суб’єктами господарювання, укладено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дво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та багатосторонні угоди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Залучити потенційних роботодавців до участі у підготовці кваліфікованих робітників шляхом розвитку дуальної форми освіти.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Провести профорієнтацію щодо дуальної освіти в ЗПТО. 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Навчання наставників, що беруть участь у впровадженні дуальної системи навчання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здобувачів, які скористались послугами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Участь роботодавців у підготовці робітників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Зростання професійної компетентності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ДОН ЛОДА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НМЦПТО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B717C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Проведено профорієнтацію щодо дуальної освіти в усіх ЗПТО.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Групу відповідальних осіб від ЗПТО  підготовлено до впровадження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дуальної системи навчання.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 Підвищено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-ну компетентність 50 вчителів та майстрів виробничого навчання.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Роботодавців залучено формування в учнів проф. навичок 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Популяризувати робітничі професії, сформувати позитивний імідж закладів професійної (професійно-технічної) освіти. Залучити бізнес до популяризації професійної освіти та робітничих професій.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Підготовка і проведення профорієнтаційного Форуму професійної освіти  (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промоційні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відеоролики, учнівські екскурсії, виставки, друк поліграфії, реклама у ЗМІ тощо)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К-ть залучених до участі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проведених заходів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учасника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Позитивний вплив на вибір професії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НМЦПТО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Проведено Форум професійної освіти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Взяло участь до 3000 учасників ЗЗСО та ЗПТО.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Влаштовано до 30 павільйонів ЗПТО та роботодавців.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Проведено учнівські екскурсії й виставки на базі  обласних підприємств та ознайомлено учнів сучасним галузями бізнесу.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Створено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промоційні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відеоролики, до яких залучено ЗПТО 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Впорядкування та розвиток мережі закладів освіти обласного підпорядкування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Виготовлення та приведення у відповідність до чинного законодавства документації  закладів професійної (професійно-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технічної) та фахової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передвищої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освіти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Пакети установчих документів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один заклад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Модернізація норм та умов праці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Виготовлено пакет документів в закладах освіти 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Розвивати інклюзивну форму навчання в закладах професійної (професійно-технічної)  і фахової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передвищої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освіти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Експеримент всеукраїнського рівня за темою: «Науково-методичні засади формування професійної компетентності осіб з особливими освітніми потребами» (наказ МОН України від 08.04.2019 р. №451).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Методика формування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профкомпетентності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осіб ООП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Покращення якості управління інклюзивною освітою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Схвалення розробленої методики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ЛНУ імені Івана Франка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Проведено тренінги, круглі столи щодо впровадження інклюзії в професійну освіту. 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Підвищено професійну компетентність викладачів та майстрів виробничого навчання для роботи з особами з особливими потребами. 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Долучено до експерименту 6 ЗПТО. 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Покращено якість управління інклюзивною освітою.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Забезпечено надання якісних освітніх послуг для осіб з особливими освітніми потребами.</w:t>
            </w:r>
          </w:p>
        </w:tc>
      </w:tr>
      <w:tr w:rsidR="00AC6B11" w:rsidRPr="005D2710" w:rsidTr="003C3549"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Загалом коштів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4380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18100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34259,6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911F3F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-30</w:t>
            </w:r>
            <w:r w:rsidR="001D3AA3"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9A14CA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3395</w:t>
            </w:r>
            <w:r w:rsidR="00827695"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DE7F71"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9950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9950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B11" w:rsidRPr="005D2710" w:rsidTr="003C3549"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2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Вища освіта та наука. Педагогічна освіта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Розширювати мережі креативних та освітніх просторів в університетах, громадах.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Створення гуртків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інноваторства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винахідництва при закладах фахової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передвищої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вищої освіти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Кількість гуртків. Кількість студентів, залучених до діяльності </w:t>
            </w: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Сумарні витрати на одного студента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Отримання належної підготовки та додаткових навичок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Організовано 5 гуртків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інноваторства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та винахідництва для студентської молоді.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Здобуті додаткові навички 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Підтримувати винахідництво та науково-дослідницьку діяльність молодих вчених та студентів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uk-UA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Преміювання талановитої студентської молоді.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uk-UA"/>
              </w:rPr>
              <w:t xml:space="preserve"> Обласна премія імені В’ячеслава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uk-UA"/>
              </w:rPr>
              <w:t>Чорновола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uk-UA"/>
              </w:rPr>
              <w:t xml:space="preserve"> за доробки в галузі гуманітарних і суспільних наук 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премій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премійованого/у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Визнання учасниками об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’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єктивності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оцінювання та справедливості преміювання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1295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Виплачено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студентам іменні премії на суму       1,3 млн гривень.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однієї премії – 6500 гривень.</w:t>
            </w:r>
          </w:p>
          <w:p w:rsidR="00A1586D" w:rsidRPr="005D2710" w:rsidRDefault="00A1586D" w:rsidP="003C3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Відзначено преміями  студентів області – переможців конкурсів.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80% опитаних із вибірки отримувачів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вигод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визнають  об’єктивність та справедливість преміювання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Удосконалити механізми стимулювання наукової діяльності молоді шляхом переходу до грантового фінансування, підтримки творчих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проєктів</w:t>
            </w:r>
            <w:proofErr w:type="spellEnd"/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Преміювання та надання грантів науковцям, викладачам Львівщини за/для дослідження, корисні регіону та Україні 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премій та грантів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однієї премії та гранту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Отримувачі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вигод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визнають справедливість та об’єктивність преміювання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Виплачено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науковцям, викладачам  премії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Вручено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до 56 премій та до 20 грантів на імплементацію результатів досліджень.</w:t>
            </w:r>
          </w:p>
          <w:p w:rsidR="00A1586D" w:rsidRPr="005D2710" w:rsidRDefault="00A1586D" w:rsidP="003C354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Середня вартість однієї премії – 25 тис. грн;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гранта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80 тис. гривень.</w:t>
            </w:r>
          </w:p>
          <w:p w:rsidR="00A1586D" w:rsidRPr="005D2710" w:rsidRDefault="00A1586D" w:rsidP="003C3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Індекс цитувань праць учених, які отримали премії, високий.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Характеристики  праці нагороджених відповідають вимогам до претендентів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Підготовка педагогічних працівників нової генерації шляхом створення умов для залучення до майбутньої професійної діяльності талановитої молоді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Проведення щорічного обласного дидактико-педагогічного форуму для обміну досвідом та вироблення політики у сфері підготовки педагогічних працівників нової генерації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К-ть учасників – педагогічних та науково-педагогічних працівників </w:t>
            </w: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Представлено освітні інновації та досвід практичної педагогічної діяльності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 учасників, які визнають цінність форуму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ДОН ЛОДА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На базі КЗ ЛОР «ЛОІППО», КЗ ЛОР «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Бродівський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фаховий педагогічний коледж імені Маркіяна Шашкевич» та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КЗ ЛОР «Самбірський фаховий педагогічний коледж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імені Івана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Филипчака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Виконано робіт/надано послуг </w:t>
            </w:r>
          </w:p>
          <w:p w:rsidR="00A1586D" w:rsidRPr="005D2710" w:rsidRDefault="00A1586D" w:rsidP="003C3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Залучено до 500 педагогів та науково-педагогічних працівників.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Учасники ознайомлені з новітніми педагогічними практиками та досвідом колег.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Понад 80% опитаних учасників форуму відзначають актуальність тематики та високий рівень організації</w:t>
            </w:r>
          </w:p>
          <w:p w:rsidR="00A1586D" w:rsidRPr="005D2710" w:rsidRDefault="00A1586D" w:rsidP="003C3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Розвиток інноваційних фундаментальних та прикладних досліджень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Проведення інноваційних фундаментальних та прикладних досліджень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К-ть учасників – педагогічних та науково-педагогічних працівників </w:t>
            </w: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Представлено освітні інновації та досвід практичної педагогічної діяльності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 учасників, які визнають цінність форуму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2308,7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2308,7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Придбано матеріалів та обладнання, виконано робіт/надано послуг на суму 2308,7 тис. грн.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Розроблено методологію дослідження впливу молекулярного водню на інтенсивність наводнювання та корозії трубних сталей у модельному для транспортованого газу середовищі з урахуванням їх старіння. Встановлення дійсного технічного стану пошкоджених залізобетонних  конструкцій з використанням методу цифрової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кореляції зображення.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B11" w:rsidRPr="005D2710" w:rsidTr="003C3549"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Загалом коштів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4385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6608,7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6608,7</w:t>
            </w:r>
          </w:p>
        </w:tc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6270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6270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B11" w:rsidRPr="005D2710" w:rsidTr="003C3549"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2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Управління 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Сформувати систему моніторингу сфери освіти з метою прийняття ефективних управлінських рішень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Oреn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Street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Map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». Створення на базі спеціальної е-програми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самооновлюваної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бази даних про стан освіти Львівщини з можливостями для узагальнень та аналітики  (так зв.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датабаза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Наповнення та інформаційна підтримка електронної карти закладів освіти Львівщини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Датабаза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«Електронні карти»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Обсяг витрат на байт 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Е-продукти, що відповідають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тех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завданням та потребі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Виконано   робіт/надано послуг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Створено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самооновлювану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е-базу даних про стан загальної освіти Львівщини та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самооновлювані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е-карти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заладів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освіти області.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Створені е-продукти забезпечують узагальнення статистичної інформації та аналіз стану системи загальної середньої освіти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Впровадити регіональну систему е-урядування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Облаштування системи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трекінгу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(відстеження) руху шкільних автобусів та інших транспортних засобів, що перебувають в користуванні освітніх закладів та установ, в реальному часі. Придбання автомобільних  GPS-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трекерів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та супутнього програмного забезпечення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К-ть встановлених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GPS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трекерів</w:t>
            </w:r>
            <w:proofErr w:type="spellEnd"/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один автобус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Забезпечення  потреби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Розроблено тендерну документацію на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GPS-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трекери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та супутнє обладнання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Придбано і встановлено GPS-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трекери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(до 400) та супутнє обладнання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Підтримувати ініціативи з розроблення освітніх програм та організації навчання, що забезпечують ефективну професійну підготовку керівників закладів освіти та управлінців освітньої сфери в питаннях менеджменту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Проведення сесій Освітньої академії Львівщини (вироблення освітньої політики та обмін досвідом управлінської діяльності між управлінським персоналом ЗО регіону, бізнесменами та науковцями, семінар-практикум для уповноважених осіб з питань державних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закупівель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закладів освіти та органів управління освітою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К-ть здобувачів, які отримали послуги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учасника Академії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Набуття досвіду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827695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67</w:t>
            </w:r>
            <w:r w:rsidR="00DE7F71"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Надано послуг на суму 670 тис грн.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Проведено 7 сесій Освітньої академії Львівщини.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Збагатили професійний досвід 580 педагогів, управлінців та уповноважених осіб з питань державних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закупівель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закладів освіти обласного підпорядкування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Проведення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навчання педагогічних працівників  області (дистанційні платформи)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К-ть здобувачів, які отримали послуги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користувача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Оволодіння методикою дистанційного навчання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іноваційних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освітніх технологій НУ «Львівська політехніка»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574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400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DE7F71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E7F71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  <w:p w:rsidR="00DE7F71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E7F71" w:rsidRPr="005D2710" w:rsidRDefault="00DE7F7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Надано освітніх послуг сумарною вартістю до 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 тис. гривень.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Підготовано 2500 педпрацівників області до використання дистанційних платформ у навчальному процесі.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навчання становить 320 грн на одного користувача.</w:t>
            </w:r>
          </w:p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 менше 85% педпрацівників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оволоділи методикою дистанційного навчання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Загалом коштів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4174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6020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6020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B11" w:rsidRPr="005D2710" w:rsidTr="003C3549"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2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Наскрізні </w:t>
            </w:r>
            <w:proofErr w:type="spellStart"/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проєкти</w:t>
            </w:r>
            <w:proofErr w:type="spellEnd"/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Вибудувати систему виховання, зорієнтовану на формування ідентичності дитини на цінностях української політичної нації – складової європейської цивілізації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Забезпечення переходу до виховання, зорієнтованого на цінності та ідентичність українця: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 наданих послуг (тис. грн)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МБ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1647,5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3500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3500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18533,3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15800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18533,3</w:t>
            </w: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15800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3975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3975</w:t>
            </w: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Придбано  обладнання і матеріали / виконано роботи / надано послуги сумарною вартістю до 34333,3  тис. гривень.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1.1.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«Плекаймо характер!». Впровадження в ЗЗСО області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програм формування емоційного інтелекту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дитини на традиційних для українців моральних цінностях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в процесі урочної, позакласної та позашкільної діяльності з використанням переважно ігрової та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проєктної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методик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Навчання педагогічних працівників, розроблення методичних матеріалів, проведення обласної педагогічної конференції «Головне – характер!» (2024 р.)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ЗЗСО, в яких укладені програми формування емоційного інтелекту дитини.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Загальний обсяг розроблених методичних матеріалів (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др.арк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.).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педагогів, які розвинули професійні навички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ЗЗСО, де впроваджена програма (%)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Характеристики виховного простору ЗЗСО, у яких діє програма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КЗ ЛОР «ЛОІППО»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Програми формування емоційного інтелекту дитини укладені в 42 ЗЗСО.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Підготовано до друку методичні матеріали обсягом до 3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др.арк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Проведено 9 тренінгів. Професійні навички розвинули до 270 педагогів.</w:t>
            </w:r>
          </w:p>
          <w:p w:rsidR="00A1586D" w:rsidRPr="005D2710" w:rsidRDefault="00A1586D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 42 ЗЗСО розпочато формування сучасного освітнього простору, який відповідає критеріям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1.2. Повне комплектування навчальних кабінетів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предмета «Захист України» закладів освіти  засобами навчання та обладнанням</w:t>
            </w:r>
          </w:p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Придбання електронних лазерних тирів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Продукту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Кількість укомплектованих кабінетів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Відповідність комплектації вимогам до обладнання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Забезпечення потреби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18533,3</w:t>
            </w: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15800</w:t>
            </w: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18533,3</w:t>
            </w: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15800</w:t>
            </w: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Повне оснащення 67    навчальних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кабінетів предмета «Захист України» на умовах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співфінансування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коштів з місцевих бюджетів.</w:t>
            </w:r>
          </w:p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Придбано 10 електронних лазерних тирів.</w:t>
            </w:r>
          </w:p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Оснащено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навчально-методичний комплекс предмета «Захист  України» у КЗ ЛОР «Львівський ліцей з посиленою військово-фізичною підготовкою  імені Героїв Крут».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Style w:val="af9"/>
                <w:sz w:val="20"/>
                <w:szCs w:val="20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Комплектація  відповідає вимогам до обладнання.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Забезпечено до 50%  від потреби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6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Стимулювати професійне зростання педагогічних працівників</w:t>
            </w:r>
          </w:p>
        </w:tc>
        <w:tc>
          <w:tcPr>
            <w:tcW w:w="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2.1.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«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Інфомедійна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 грамотність у закладах освіти Львівщини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». Проведення заходів для розвитку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медіаграмотності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 в педагогічних працівників та учнів: здатності аналізувати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медіаконтент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розрізняти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фейки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дезінформацію і пропаганду, стереотипи і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мову ворожнечі, виявляти маніпуляції у медіа та ін.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Продукту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К-ть здобувачів, які отримали послуги 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Позитивний вплив на особистісний розвиток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КЗ ЛОР «ЛОІППО»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Підготовано тренерів та </w:t>
            </w:r>
          </w:p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проведено тренінги для педагогічних працівників  області на базі опорних шкіл із залученням ЗПТО.</w:t>
            </w:r>
          </w:p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Проведено конкурс для учнів  «Я у  медіапросторі»</w:t>
            </w:r>
          </w:p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lastRenderedPageBreak/>
              <w:t>Розроблено програму та матеріали для роботи з батьками «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Медіаграмотність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 для батьків»  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2.2.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«Профілактика емоційного вигорання вчителів». Формування  емоційної стійкості та вмотивованості до навчання впродовж життя. Сприяння психічному процвітанню через навчання творчому мисленню, роботі в команді і т. ін., формуванню компетентності бути щасливим/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ою</w:t>
            </w:r>
            <w:proofErr w:type="spellEnd"/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К-ть здобувачів, які отримали послуги 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учасника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Оволодіння методикою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tabs>
                <w:tab w:val="center" w:pos="28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Підготовано до 10%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класних керівників шкіл Львова та Львівської області.</w:t>
            </w:r>
          </w:p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Забезпечено: </w:t>
            </w:r>
          </w:p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профілактику емоційного вигорання вчителів;</w:t>
            </w:r>
          </w:p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формування в учнів цілісної системи цінностей;</w:t>
            </w:r>
          </w:p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розвиток у вчителів та учнів емоційної стійкості, гнучкості та вміння адаптуватись до зовнішніх обставин та ін.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Стимулювати науково-пізнавальну, пошуково-дослідницьку діяльність учасників освітнього процесу для підвищення у них мотивації до навчання, розвитку творчого і критичного мислення  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Забезпечення розвитку творчих здібностей молоді: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придбаного обладнання і матеріалів / виконаних робіт / наданих послуг (тис. грн)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827695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B61D7"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Придбано  обладнання і матеріали/ виконано роботи/надано послуги  на суму 350 тис грн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3.1.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«Центр винахідництва та креативних індустрій». Створення на базі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Львівського державного Будинку техніки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гуртків  сучасних інноваційних технологій у сфері ІТ, дизайну, фото- та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кіношколи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Продукту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К-ть гуртків та здобувачів, які отримали послуги 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учня/студента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Позитивний вплив на особистісний розвиток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ДЗ Будинок техніки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Створено Центр винахідництва та креативних індустрій на базі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Львівського державного Будинку техніки (гуртки  інноваційних технологій у сфері ІТ, дизайну, фото- та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кіношколи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).</w:t>
            </w:r>
          </w:p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Отримали освітні послуги до 100 учнів та студентів.</w:t>
            </w:r>
          </w:p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80% опитаних здобувачів освіти відзначають позитивний вплив гуртка на особистісний розвиток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3.2.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«Живи органічно!». Залучення дітей дошкільного і шкільного віку до процесу вирощування овочевих культур на базі теплиць та пришкільних ділянок ЗДО, ЗЗСО, ЗП(ПТ)О, вивчення і дослідження дітьми процесів обробітку землі, вирощування рослин, приготування їжі тощо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К-ть здобувачів, які отримали послуги 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Позитивний вплив на особистісний розвиток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КЗ ЛОР ЛОЦЕНТУМ</w:t>
            </w: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tabs>
                <w:tab w:val="center" w:pos="28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проєкту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залучено 5 ЗЗСО та 5 ЗДО.</w:t>
            </w:r>
          </w:p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Учасниками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проєкту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є орієнтовно 200 учнів та 150 дошкільнят.</w:t>
            </w:r>
          </w:p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 75% опитаних дітей та батьків відзначають позитивний вплив вивчення і дослідження дітьми процесів обробітку землі, вирощування рослин, приготування їжі тощо на особистісний розвиток 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3.3.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«Сходинки професійного зростання». Забезпечення профільного навчання та допрофесійної підготовки учнів закладів загальної середньої та позашкільної освіти в галузі лісівництва на базі «кабінетів лісу», створених за підтримки управління лісового господарства Львівської ОДА та лісгоспів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здобувачів, які користуються послугами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Позитивний вплив на особистісний розвиток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КЗ ЛОР ЛОЦЕНТУМ</w:t>
            </w: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Створено та обладнано 5 кабінетів лісу.</w:t>
            </w:r>
          </w:p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Виділено робочі місця та навчально-виробничі ділянки на територіях державних лісогосподарських підприємств для проходження здобувачами освіти практичної підготовки</w:t>
            </w:r>
          </w:p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випускники ЗПО за лісівничим профілем набули компетентності з лісознавства та лісівництва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keepNext/>
              <w:keepLines/>
              <w:shd w:val="clear" w:color="auto" w:fill="FFFFFF"/>
              <w:spacing w:after="0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3.4. 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«Мобільна лабораторія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Tech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LabInno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». Створення і функціонування технологічної лабораторії, де учні зможуть розробляти і виготовляти зразки інноваційної продукції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здобувачів, які користуються послугами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Позитивний вплив на особистісний розвиток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КЗ ЛОР «ЛОМАН»</w:t>
            </w: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Користуються  послугами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2 000 учнів шкіл Львівської області.</w:t>
            </w:r>
          </w:p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До 60% опитаних відвідувачів лабораторії відзначають, що здобули знання та зацікавились технічними спеціальностями, використанням набутих навичок та інноваційних процесів у житті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3.5. Сприяння</w:t>
            </w:r>
          </w:p>
          <w:p w:rsidR="004B61D7" w:rsidRPr="005D2710" w:rsidRDefault="004B61D7" w:rsidP="003C35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учням-винахідникам, які навчаються в ЗЗСО, ЗПТО та коледжах, у розвитку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вмінь створювати власні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стартап-проєкти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подавати їх на участь у конкурсі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стартапів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, преміювання команд-переможців та учасників конкурсів-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стартапів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, надання грантової підтримки. Найкращі команди отримають індивідуальну менторську підтримку від партнерів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проєкту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. </w:t>
            </w:r>
          </w:p>
          <w:p w:rsidR="004B61D7" w:rsidRPr="005D2710" w:rsidRDefault="004B61D7" w:rsidP="003C35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«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Tech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StartUp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School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».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Продукту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К-ть здобувачів, які отримали послуги 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Середня вартість витрат на одного учня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Позитивний вплив на особистісний розвиток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ДОН ЛОДА, ТГ,            НУ 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Львівська політехніка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827695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B61D7"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Премійовано команди-переможці і учасниці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конкурсів-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стартпів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на суму 350 тис. грн.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Навчання учнів/студентів -винахідників у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Tech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StartUp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School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. 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До 80% опитаних учнів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Tech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StartUp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School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визнають розвиток вмінь створювати власні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стартап-проєкти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вміють подавати їх на участь у конкурсі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стартапів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4. </w:t>
            </w:r>
          </w:p>
        </w:tc>
        <w:tc>
          <w:tcPr>
            <w:tcW w:w="6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Підтримувати та поширювати позитивні приклади використання цифрових технологій та віддаленого навчання для різних категорій здобувачів освіти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keepNext/>
              <w:keepLines/>
              <w:shd w:val="clear" w:color="auto" w:fill="FFFFFF"/>
              <w:spacing w:after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Забезпечення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цифровізації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освітнього простору, дистанційне і змішане навчання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F175F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F175F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Придбано  обладнання і матеріали / виконано роботи/надано послуги 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4.1. Створення умов для пілотування впровадження дистанційної платформи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Moodle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у ЗЗСО області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К-ть ЗО, які встановили платформу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Moodle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К-ть педпрацівників, які розмістили навчальні курси на дистанційній платформі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Moodle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 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одну школу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Відповідність платформи потребам школи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Центр інноваційних освітніх технологій НУ Львівська політехніка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100 пілотних шкіл використовують платформу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Moodle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Придбано 100 доменних імен та виконано інші роботи/ послуги на суму 362 тис. гривень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для 100-пілотних шкіл.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 педагогів розмістили навчальні курси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Середня вартість витрат на одну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школу – 2 тис. гривень.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Платформа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Moodle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в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ідповідає потребам ЗЗСО</w:t>
            </w:r>
          </w:p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4.2. Створення нового цифрового продукту для учнів, студентів, педагогічних і науково-педагогічних працівників (проста візуалізація, цікавий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наратив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цікава та «молодіжна» мова) про ефективне навчання, права людини, толерантність та психологічну підтримку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створених продуктів (у байтах)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один продукт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Позитивний вплив на особистісний розвиток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ЦІОТ НУ Львівська політехніка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tabs>
                <w:tab w:val="center" w:pos="28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Створено навчальні та інформаційні матеріали з використанням цифрових технологій, призначені для  промоції навчання.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80% опитаних учнів, студентів, педагогічних і науково-педагогічних працівників відзначають позитивний вплив продукту на особистісний розвиток дитини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4.3. Підготовка психологів та соціальних працівників закладів освіти (дошкільної, загальної середньої, професійно-технічної, фахової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передвищої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вищої) в умовах дистанційного та змішаного навчання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К-ть здобувачів, які отримали послуги 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здобувача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Оволодіння методикою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КЗ ЛОР  «ЛОІППО»</w:t>
            </w: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 «Міжнародна психологічна асоціація проективних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методик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ІД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Отримали послуги психологи та соціальні працівники закладів дошкільної, загальної середньої, професійно-технічної, фахової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передвищої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вищої освіти;</w:t>
            </w:r>
          </w:p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психологи та соціальні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працівники оволоділи необхідними їм методиками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6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widowControl w:val="0"/>
              <w:spacing w:beforeAutospacing="1" w:after="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Позиціонувати бренд освіти Львівщини в національному інформаційному просторі, популяризувати освітній потенціал Львівщини за межами регіону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Формування українського освітнього простору в країнах діаспори: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Сумарна вартість виконаних робіт/наданих послуг (тис. грн)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150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F175F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F175F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Придбано техніки/виконано  робіт/надано послуг сумарною вартістю      300 тис. гривень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5.1.  Портал «Український освітній всесвіт». Інтерактивна карта та форум українознавчих освітніх закладів за кордоном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Портал, що відповідає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тех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завданню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К-ть користувачів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Відповідність порталу вимогам та очікуванням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Створено інтерактивну карту та форум українознавчих освітніх закладів за кордоном.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Створено  мережу комунікації між освітянами зі 100 українознавчих шкіл  з 36 країн світу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5.2.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Проєкт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 “Крок до України”.</w:t>
            </w:r>
          </w:p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Створення освітнього порталу для навчання української мови як іноземної. Забезпечення учнів українських суботніх та недільних шкіл за кордоном, студентів українознавчих студій за кордоном та студентів-іноземців в Україні сучасними навчальними матеріалами для самостійного вивчення української мови як іноземної (УМІ), учителів суботніх та недільних шкіл - сучасними методичними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lastRenderedPageBreak/>
              <w:t>розробками та навчальними ресурсами, доступними в режимі онлайн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Продукту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К-ть здобувачів, які отримали послуги 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учня/студента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Забезпечення  потреби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Запущено освітній інтерактивний ресурс для вивчення української мови та промоції її у світі – портал  та його мобільна версія.</w:t>
            </w:r>
          </w:p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Створено сучасні навчальні та методичні матеріали для навчання української мови в УМІ.</w:t>
            </w:r>
          </w:p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 Створено умови для зростання в міжнародній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lastRenderedPageBreak/>
              <w:t xml:space="preserve">спільноті кількості мовців, які володіють українською мовою; поширення знань про українську культуру, історію 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5.3.  Заходи з підтримки української мови, в т. ч. VІІ Міжнародна науково-практична конференція «Українська мова у світі»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Доповіді та виступи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учасника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Позитивний вплив на професійний розвиток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VІІ Міжнародна науково-практична конференція «Українська мова у світі» запланована на 2023 рік</w:t>
            </w: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5.4.Регіональний науково-практичний експеримент «Впровадження структурно-функціональної моделі забезпечення комплексної підтримки україномовної освіти за кордоном», розрахований на  2020–2030 роки. Розроблення програм та навчальних і культурно-просвітницьких матеріалів для шкіл різного типу, що функціонують у середовищі українських емігрантів, з урахуванням їхніх потреб. Підготовка на базі ЛНУ ім. Івана Франка та інших ЗВО педагогів для навчання українських емігрантів (дітей та дорослих) українознавчих предметів, підвищення 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кваліфікації педагогів україномовних шкіл, таких як Культурно-освітній центр «Дивосвіт» при Спілці українців у Португалії, Українсько-австрійський культурно-освітній центр  у Відні «Ерудит»; Товариство «Українсько-грецька думка», ГО «Справа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Кольпінга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 Україні»   та ін.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Продукту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Модель комплексної підтримки україномовної освіти за кордоном.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Програми і матеріали для шкіл (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др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арк</w:t>
            </w:r>
            <w:proofErr w:type="spellEnd"/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Ефективност</w:t>
            </w: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Середня вартість витрат на одного учня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Забезпечення  потреби (%)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Оволодіння методикою викладання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F175F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F175F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Розроблено концепцію та необхідну для реалізації експерименту документацію</w:t>
            </w:r>
          </w:p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Дібрано ЗЗСО для участі в експерименті</w:t>
            </w:r>
          </w:p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B11" w:rsidRPr="005D2710" w:rsidTr="003C3549">
        <w:trPr>
          <w:gridAfter w:val="1"/>
          <w:wAfter w:w="2" w:type="pct"/>
          <w:trHeight w:val="3393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Створити дітям шкільного віку та  учнівській     молоді з території активних бойових дій належні умови перебування у закладах освіти обласного підпорядкування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Забезпечити умови для змістовного дозвілля дітей шкільного віку та учнівської молоді  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Витрат 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Сума виконаних робіт/наданих послуг (тис грн) 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Продукту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Кількість учнів. які отримали послуги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Ефективності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Середня вартість на одного учня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Якості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Забезпечення потреби (%)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ДОН ЛОДА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827695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F175F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F175F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D7" w:rsidRPr="005D2710" w:rsidRDefault="004B61D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Забезпечено умови для змістовного дозвілля дітей шкільного віку та учнівської молоді з території активних бойових дій                 (понад 1000 ос.)</w:t>
            </w:r>
          </w:p>
          <w:p w:rsidR="004B61D7" w:rsidRPr="005D2710" w:rsidRDefault="004B61D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F175F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F175F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Загалом коштів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F175F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F175F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2674,5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F175F7" w:rsidP="003C3549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4012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827695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21263</w:t>
            </w:r>
            <w:r w:rsidR="00F175F7"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BC5492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F175F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21263,3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F175F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5335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F175F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5335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F175F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B11" w:rsidRPr="005D2710" w:rsidTr="003C3549">
        <w:trPr>
          <w:gridAfter w:val="1"/>
          <w:wAfter w:w="2" w:type="pct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F175F7" w:rsidP="003C3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F175F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Усього за наявними позиціями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F175F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F175F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30315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F175F7" w:rsidP="003C3549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46000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F175F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89729,2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1D3AA3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A943B1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89729</w:t>
            </w:r>
            <w:r w:rsidR="00F175F7"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F175F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54025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F175F7" w:rsidP="003C3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27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54025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7" w:rsidRPr="005D2710" w:rsidRDefault="00F175F7" w:rsidP="003C354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62F97" w:rsidRPr="005D2710" w:rsidRDefault="00A62F97" w:rsidP="00A62F9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5D2710">
        <w:rPr>
          <w:rFonts w:ascii="Times New Roman" w:hAnsi="Times New Roman" w:cs="Times New Roman"/>
          <w:sz w:val="20"/>
          <w:szCs w:val="20"/>
          <w:lang w:eastAsia="ru-RU"/>
        </w:rPr>
        <w:t>* вказується кожне джерело окремо.</w:t>
      </w:r>
    </w:p>
    <w:p w:rsidR="00A62F97" w:rsidRPr="005D2710" w:rsidRDefault="00A62F97" w:rsidP="00A62F9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5D2710">
        <w:rPr>
          <w:rFonts w:ascii="Times New Roman" w:hAnsi="Times New Roman" w:cs="Times New Roman"/>
          <w:sz w:val="20"/>
          <w:szCs w:val="20"/>
          <w:lang w:eastAsia="ru-RU"/>
        </w:rPr>
        <w:t>** цілі, заходи, показники вказуються на кожен рік програми.</w:t>
      </w:r>
    </w:p>
    <w:p w:rsidR="00640786" w:rsidRPr="00DE627D" w:rsidRDefault="00A62F97" w:rsidP="00A62F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D2710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5D2710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5D2710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5D2710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5D2710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="00DE627D" w:rsidRPr="005D2710">
        <w:rPr>
          <w:rFonts w:ascii="Times New Roman" w:hAnsi="Times New Roman" w:cs="Times New Roman"/>
          <w:bCs/>
          <w:sz w:val="28"/>
          <w:szCs w:val="28"/>
          <w:lang w:eastAsia="ru-RU"/>
        </w:rPr>
        <w:t>_</w:t>
      </w:r>
      <w:r w:rsidRPr="005D2710">
        <w:rPr>
          <w:rFonts w:ascii="Times New Roman" w:hAnsi="Times New Roman" w:cs="Times New Roman"/>
          <w:bCs/>
          <w:sz w:val="28"/>
          <w:szCs w:val="28"/>
          <w:lang w:val="en-US" w:eastAsia="ru-RU"/>
        </w:rPr>
        <w:t>___________________</w:t>
      </w:r>
      <w:r w:rsidR="00DE627D" w:rsidRPr="005D2710">
        <w:rPr>
          <w:rFonts w:ascii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___________________________________________________________________________________</w:t>
      </w:r>
      <w:bookmarkStart w:id="0" w:name="_GoBack"/>
      <w:bookmarkEnd w:id="0"/>
    </w:p>
    <w:p w:rsidR="00A62F97" w:rsidRPr="0070500D" w:rsidRDefault="00A62F97" w:rsidP="00A62F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 w:eastAsia="ru-RU"/>
        </w:rPr>
      </w:pPr>
    </w:p>
    <w:sectPr w:rsidR="00A62F97" w:rsidRPr="0070500D" w:rsidSect="00301ADA">
      <w:headerReference w:type="default" r:id="rId8"/>
      <w:pgSz w:w="16838" w:h="11906" w:orient="landscape"/>
      <w:pgMar w:top="1418" w:right="851" w:bottom="851" w:left="85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9BE" w:rsidRDefault="00FF79BE" w:rsidP="001C5ED9">
      <w:pPr>
        <w:spacing w:after="0" w:line="240" w:lineRule="auto"/>
      </w:pPr>
      <w:r>
        <w:separator/>
      </w:r>
    </w:p>
  </w:endnote>
  <w:endnote w:type="continuationSeparator" w:id="0">
    <w:p w:rsidR="00FF79BE" w:rsidRDefault="00FF79BE" w:rsidP="001C5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oto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9BE" w:rsidRDefault="00FF79BE" w:rsidP="001C5ED9">
      <w:pPr>
        <w:spacing w:after="0" w:line="240" w:lineRule="auto"/>
      </w:pPr>
      <w:r>
        <w:separator/>
      </w:r>
    </w:p>
  </w:footnote>
  <w:footnote w:type="continuationSeparator" w:id="0">
    <w:p w:rsidR="00FF79BE" w:rsidRDefault="00FF79BE" w:rsidP="001C5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695" w:rsidRPr="00832EA4" w:rsidRDefault="00827695">
    <w:pPr>
      <w:pStyle w:val="a5"/>
      <w:jc w:val="center"/>
      <w:rPr>
        <w:rFonts w:ascii="Times New Roman" w:hAnsi="Times New Roman" w:cs="Times New Roman"/>
      </w:rPr>
    </w:pPr>
    <w:r>
      <w:t xml:space="preserve">                                                                                                           </w:t>
    </w:r>
    <w:r w:rsidRPr="00832EA4">
      <w:rPr>
        <w:rFonts w:ascii="Times New Roman" w:hAnsi="Times New Roman" w:cs="Times New Roman"/>
      </w:rPr>
      <w:fldChar w:fldCharType="begin"/>
    </w:r>
    <w:r w:rsidRPr="00832EA4">
      <w:rPr>
        <w:rFonts w:ascii="Times New Roman" w:hAnsi="Times New Roman" w:cs="Times New Roman"/>
      </w:rPr>
      <w:instrText>PAGE   \* MERGEFORMAT</w:instrText>
    </w:r>
    <w:r w:rsidRPr="00832EA4">
      <w:rPr>
        <w:rFonts w:ascii="Times New Roman" w:hAnsi="Times New Roman" w:cs="Times New Roman"/>
      </w:rPr>
      <w:fldChar w:fldCharType="separate"/>
    </w:r>
    <w:r w:rsidR="005D2710">
      <w:rPr>
        <w:rFonts w:ascii="Times New Roman" w:hAnsi="Times New Roman" w:cs="Times New Roman"/>
        <w:noProof/>
      </w:rPr>
      <w:t>34</w:t>
    </w:r>
    <w:r w:rsidRPr="00832EA4">
      <w:rPr>
        <w:rFonts w:ascii="Times New Roman" w:hAnsi="Times New Roman" w:cs="Times New Roman"/>
      </w:rPr>
      <w:fldChar w:fldCharType="end"/>
    </w:r>
    <w:r w:rsidRPr="00832EA4">
      <w:rPr>
        <w:rFonts w:ascii="Times New Roman" w:hAnsi="Times New Roman" w:cs="Times New Roman"/>
      </w:rPr>
      <w:t xml:space="preserve">                                            </w:t>
    </w:r>
    <w:r>
      <w:rPr>
        <w:rFonts w:ascii="Times New Roman" w:hAnsi="Times New Roman" w:cs="Times New Roman"/>
      </w:rPr>
      <w:t xml:space="preserve">           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608D0"/>
    <w:multiLevelType w:val="multilevel"/>
    <w:tmpl w:val="9EC809C2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107057DE"/>
    <w:multiLevelType w:val="hybridMultilevel"/>
    <w:tmpl w:val="F5F07BD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0E645A"/>
    <w:multiLevelType w:val="hybridMultilevel"/>
    <w:tmpl w:val="A7B8AE2A"/>
    <w:lvl w:ilvl="0" w:tplc="80C2386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4297C"/>
    <w:multiLevelType w:val="hybridMultilevel"/>
    <w:tmpl w:val="84E6E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94322"/>
    <w:multiLevelType w:val="multilevel"/>
    <w:tmpl w:val="7DAA5FE6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1B60660F"/>
    <w:multiLevelType w:val="hybridMultilevel"/>
    <w:tmpl w:val="902C6FD0"/>
    <w:lvl w:ilvl="0" w:tplc="50F0599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F266C"/>
    <w:multiLevelType w:val="hybridMultilevel"/>
    <w:tmpl w:val="B692A19A"/>
    <w:lvl w:ilvl="0" w:tplc="51BC1B0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178CD"/>
    <w:multiLevelType w:val="hybridMultilevel"/>
    <w:tmpl w:val="4DDA0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60DC1"/>
    <w:multiLevelType w:val="hybridMultilevel"/>
    <w:tmpl w:val="8DF2E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07722"/>
    <w:multiLevelType w:val="multilevel"/>
    <w:tmpl w:val="6ED43E9A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 w15:restartNumberingAfterBreak="0">
    <w:nsid w:val="3BB37241"/>
    <w:multiLevelType w:val="hybridMultilevel"/>
    <w:tmpl w:val="F9609E5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59376F"/>
    <w:multiLevelType w:val="multilevel"/>
    <w:tmpl w:val="B53C35BA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 w15:restartNumberingAfterBreak="0">
    <w:nsid w:val="47791EB7"/>
    <w:multiLevelType w:val="hybridMultilevel"/>
    <w:tmpl w:val="297A7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CC0F5F"/>
    <w:multiLevelType w:val="hybridMultilevel"/>
    <w:tmpl w:val="27F68034"/>
    <w:lvl w:ilvl="0" w:tplc="13D8C4D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C2419D"/>
    <w:multiLevelType w:val="hybridMultilevel"/>
    <w:tmpl w:val="B574A122"/>
    <w:lvl w:ilvl="0" w:tplc="C2E2F99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804952"/>
    <w:multiLevelType w:val="hybridMultilevel"/>
    <w:tmpl w:val="9A3C9548"/>
    <w:lvl w:ilvl="0" w:tplc="3E58042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51BBF"/>
    <w:multiLevelType w:val="multilevel"/>
    <w:tmpl w:val="5D46E334"/>
    <w:lvl w:ilvl="0">
      <w:start w:val="1"/>
      <w:numFmt w:val="decimal"/>
      <w:lvlText w:val="%1."/>
      <w:lvlJc w:val="left"/>
      <w:pPr>
        <w:ind w:left="927" w:hanging="359"/>
      </w:pPr>
      <w:rPr>
        <w:rFonts w:cs="Times New Roman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3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0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363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363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723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723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083" w:hanging="1800"/>
      </w:pPr>
      <w:rPr>
        <w:rFonts w:cs="Times New Roman"/>
      </w:rPr>
    </w:lvl>
  </w:abstractNum>
  <w:abstractNum w:abstractNumId="17" w15:restartNumberingAfterBreak="0">
    <w:nsid w:val="55C0683B"/>
    <w:multiLevelType w:val="hybridMultilevel"/>
    <w:tmpl w:val="C9124DD6"/>
    <w:lvl w:ilvl="0" w:tplc="0422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 w15:restartNumberingAfterBreak="0">
    <w:nsid w:val="58BD111F"/>
    <w:multiLevelType w:val="multilevel"/>
    <w:tmpl w:val="2C5C54C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9" w15:restartNumberingAfterBreak="0">
    <w:nsid w:val="5B1510A8"/>
    <w:multiLevelType w:val="multilevel"/>
    <w:tmpl w:val="44C83E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B3558CC"/>
    <w:multiLevelType w:val="hybridMultilevel"/>
    <w:tmpl w:val="842A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833782"/>
    <w:multiLevelType w:val="hybridMultilevel"/>
    <w:tmpl w:val="8312D17A"/>
    <w:lvl w:ilvl="0" w:tplc="D714970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3572CE"/>
    <w:multiLevelType w:val="hybridMultilevel"/>
    <w:tmpl w:val="1B3E7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482AC2"/>
    <w:multiLevelType w:val="hybridMultilevel"/>
    <w:tmpl w:val="0B2CF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F33BA2"/>
    <w:multiLevelType w:val="hybridMultilevel"/>
    <w:tmpl w:val="F5F07BD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3EE4792"/>
    <w:multiLevelType w:val="multilevel"/>
    <w:tmpl w:val="D47645B6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 w15:restartNumberingAfterBreak="0">
    <w:nsid w:val="78F46C8C"/>
    <w:multiLevelType w:val="multilevel"/>
    <w:tmpl w:val="EBA496F8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7F7D2917"/>
    <w:multiLevelType w:val="hybridMultilevel"/>
    <w:tmpl w:val="D12E8A36"/>
    <w:lvl w:ilvl="0" w:tplc="B050808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25"/>
  </w:num>
  <w:num w:numId="5">
    <w:abstractNumId w:val="18"/>
  </w:num>
  <w:num w:numId="6">
    <w:abstractNumId w:val="4"/>
  </w:num>
  <w:num w:numId="7">
    <w:abstractNumId w:val="16"/>
  </w:num>
  <w:num w:numId="8">
    <w:abstractNumId w:val="11"/>
  </w:num>
  <w:num w:numId="9">
    <w:abstractNumId w:val="26"/>
  </w:num>
  <w:num w:numId="10">
    <w:abstractNumId w:val="3"/>
  </w:num>
  <w:num w:numId="11">
    <w:abstractNumId w:val="23"/>
  </w:num>
  <w:num w:numId="12">
    <w:abstractNumId w:val="22"/>
  </w:num>
  <w:num w:numId="13">
    <w:abstractNumId w:val="7"/>
  </w:num>
  <w:num w:numId="14">
    <w:abstractNumId w:val="8"/>
  </w:num>
  <w:num w:numId="15">
    <w:abstractNumId w:val="12"/>
  </w:num>
  <w:num w:numId="16">
    <w:abstractNumId w:val="24"/>
  </w:num>
  <w:num w:numId="17">
    <w:abstractNumId w:val="10"/>
  </w:num>
  <w:num w:numId="18">
    <w:abstractNumId w:val="17"/>
  </w:num>
  <w:num w:numId="19">
    <w:abstractNumId w:val="1"/>
  </w:num>
  <w:num w:numId="20">
    <w:abstractNumId w:val="20"/>
  </w:num>
  <w:num w:numId="21">
    <w:abstractNumId w:val="21"/>
  </w:num>
  <w:num w:numId="22">
    <w:abstractNumId w:val="13"/>
  </w:num>
  <w:num w:numId="23">
    <w:abstractNumId w:val="14"/>
  </w:num>
  <w:num w:numId="24">
    <w:abstractNumId w:val="6"/>
  </w:num>
  <w:num w:numId="25">
    <w:abstractNumId w:val="27"/>
  </w:num>
  <w:num w:numId="26">
    <w:abstractNumId w:val="15"/>
  </w:num>
  <w:num w:numId="27">
    <w:abstractNumId w:val="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C9"/>
    <w:rsid w:val="000065C6"/>
    <w:rsid w:val="000203F8"/>
    <w:rsid w:val="0002394D"/>
    <w:rsid w:val="00034923"/>
    <w:rsid w:val="00041A1A"/>
    <w:rsid w:val="0004249C"/>
    <w:rsid w:val="000540BD"/>
    <w:rsid w:val="00060C81"/>
    <w:rsid w:val="00067050"/>
    <w:rsid w:val="0008315F"/>
    <w:rsid w:val="00086EB6"/>
    <w:rsid w:val="00090361"/>
    <w:rsid w:val="00091A1F"/>
    <w:rsid w:val="00091AB7"/>
    <w:rsid w:val="00095B93"/>
    <w:rsid w:val="000A3249"/>
    <w:rsid w:val="000A5C77"/>
    <w:rsid w:val="000B1493"/>
    <w:rsid w:val="000B6ED4"/>
    <w:rsid w:val="000C58B6"/>
    <w:rsid w:val="000D63E1"/>
    <w:rsid w:val="000F361E"/>
    <w:rsid w:val="000F5996"/>
    <w:rsid w:val="00103EC6"/>
    <w:rsid w:val="0010516B"/>
    <w:rsid w:val="00140632"/>
    <w:rsid w:val="00152685"/>
    <w:rsid w:val="00181762"/>
    <w:rsid w:val="0018370B"/>
    <w:rsid w:val="00183EE8"/>
    <w:rsid w:val="001874CE"/>
    <w:rsid w:val="001935F3"/>
    <w:rsid w:val="001B3E97"/>
    <w:rsid w:val="001C5ED9"/>
    <w:rsid w:val="001C6724"/>
    <w:rsid w:val="001C7EE4"/>
    <w:rsid w:val="001D1293"/>
    <w:rsid w:val="001D1ECE"/>
    <w:rsid w:val="001D3AA3"/>
    <w:rsid w:val="001F7FDB"/>
    <w:rsid w:val="0020171B"/>
    <w:rsid w:val="00204393"/>
    <w:rsid w:val="002177A0"/>
    <w:rsid w:val="00223E58"/>
    <w:rsid w:val="00225246"/>
    <w:rsid w:val="00230A57"/>
    <w:rsid w:val="00233562"/>
    <w:rsid w:val="002369A3"/>
    <w:rsid w:val="00243218"/>
    <w:rsid w:val="00243FDC"/>
    <w:rsid w:val="00244545"/>
    <w:rsid w:val="00246F8C"/>
    <w:rsid w:val="002524F6"/>
    <w:rsid w:val="002542C2"/>
    <w:rsid w:val="002575E6"/>
    <w:rsid w:val="00260150"/>
    <w:rsid w:val="00260F20"/>
    <w:rsid w:val="002769A5"/>
    <w:rsid w:val="00284A2D"/>
    <w:rsid w:val="00286278"/>
    <w:rsid w:val="00293BE4"/>
    <w:rsid w:val="0029668E"/>
    <w:rsid w:val="002A2C50"/>
    <w:rsid w:val="002A48BC"/>
    <w:rsid w:val="002A5788"/>
    <w:rsid w:val="002B3E7E"/>
    <w:rsid w:val="002B4569"/>
    <w:rsid w:val="002C4960"/>
    <w:rsid w:val="002C6402"/>
    <w:rsid w:val="002D084A"/>
    <w:rsid w:val="002D666A"/>
    <w:rsid w:val="002E0954"/>
    <w:rsid w:val="002F176B"/>
    <w:rsid w:val="002F65EC"/>
    <w:rsid w:val="00301ADA"/>
    <w:rsid w:val="00305259"/>
    <w:rsid w:val="00326534"/>
    <w:rsid w:val="003332EB"/>
    <w:rsid w:val="00333929"/>
    <w:rsid w:val="00344CAD"/>
    <w:rsid w:val="00354F08"/>
    <w:rsid w:val="003567C2"/>
    <w:rsid w:val="00362FBF"/>
    <w:rsid w:val="00390D03"/>
    <w:rsid w:val="003935E9"/>
    <w:rsid w:val="00395F31"/>
    <w:rsid w:val="00396832"/>
    <w:rsid w:val="003A0197"/>
    <w:rsid w:val="003A33D5"/>
    <w:rsid w:val="003A471D"/>
    <w:rsid w:val="003A476C"/>
    <w:rsid w:val="003B19DD"/>
    <w:rsid w:val="003B2346"/>
    <w:rsid w:val="003B58B9"/>
    <w:rsid w:val="003B6F6A"/>
    <w:rsid w:val="003C3549"/>
    <w:rsid w:val="003C3C53"/>
    <w:rsid w:val="003D6D12"/>
    <w:rsid w:val="003E39CB"/>
    <w:rsid w:val="003E52EE"/>
    <w:rsid w:val="003E6AF5"/>
    <w:rsid w:val="003E75EE"/>
    <w:rsid w:val="003F6ACE"/>
    <w:rsid w:val="0040698C"/>
    <w:rsid w:val="00406AB0"/>
    <w:rsid w:val="00407DCF"/>
    <w:rsid w:val="00424A6A"/>
    <w:rsid w:val="00427160"/>
    <w:rsid w:val="00432B46"/>
    <w:rsid w:val="00433E3F"/>
    <w:rsid w:val="00435D32"/>
    <w:rsid w:val="00442D9E"/>
    <w:rsid w:val="00446044"/>
    <w:rsid w:val="00446F98"/>
    <w:rsid w:val="00466E95"/>
    <w:rsid w:val="00481E4C"/>
    <w:rsid w:val="00484243"/>
    <w:rsid w:val="004868E3"/>
    <w:rsid w:val="004A0C8E"/>
    <w:rsid w:val="004A54A2"/>
    <w:rsid w:val="004A5CE0"/>
    <w:rsid w:val="004B00B1"/>
    <w:rsid w:val="004B1E99"/>
    <w:rsid w:val="004B2A6F"/>
    <w:rsid w:val="004B4A5C"/>
    <w:rsid w:val="004B59DA"/>
    <w:rsid w:val="004B61D7"/>
    <w:rsid w:val="004B70B6"/>
    <w:rsid w:val="004C2232"/>
    <w:rsid w:val="004C2755"/>
    <w:rsid w:val="004D5E73"/>
    <w:rsid w:val="004D695C"/>
    <w:rsid w:val="004E6A13"/>
    <w:rsid w:val="004F3C1E"/>
    <w:rsid w:val="004F4942"/>
    <w:rsid w:val="004F53C9"/>
    <w:rsid w:val="004F7930"/>
    <w:rsid w:val="0050072B"/>
    <w:rsid w:val="00511BFD"/>
    <w:rsid w:val="005204FE"/>
    <w:rsid w:val="00520BA4"/>
    <w:rsid w:val="00522785"/>
    <w:rsid w:val="00522EA4"/>
    <w:rsid w:val="005240F1"/>
    <w:rsid w:val="0052504C"/>
    <w:rsid w:val="00540FDA"/>
    <w:rsid w:val="00544503"/>
    <w:rsid w:val="00553B34"/>
    <w:rsid w:val="00557207"/>
    <w:rsid w:val="00557309"/>
    <w:rsid w:val="00572D39"/>
    <w:rsid w:val="00576DE7"/>
    <w:rsid w:val="00580FAF"/>
    <w:rsid w:val="00582EAA"/>
    <w:rsid w:val="00583410"/>
    <w:rsid w:val="00592AE2"/>
    <w:rsid w:val="005948DB"/>
    <w:rsid w:val="00594C54"/>
    <w:rsid w:val="00596BB4"/>
    <w:rsid w:val="00597A8B"/>
    <w:rsid w:val="005A207D"/>
    <w:rsid w:val="005A3A07"/>
    <w:rsid w:val="005B2EAF"/>
    <w:rsid w:val="005B3142"/>
    <w:rsid w:val="005B7938"/>
    <w:rsid w:val="005D2710"/>
    <w:rsid w:val="005D2C17"/>
    <w:rsid w:val="005E057D"/>
    <w:rsid w:val="005E19E7"/>
    <w:rsid w:val="005E2F0B"/>
    <w:rsid w:val="005E5E57"/>
    <w:rsid w:val="005E7642"/>
    <w:rsid w:val="005F0712"/>
    <w:rsid w:val="005F0CE3"/>
    <w:rsid w:val="005F5240"/>
    <w:rsid w:val="006014F1"/>
    <w:rsid w:val="00601929"/>
    <w:rsid w:val="00605E7B"/>
    <w:rsid w:val="006105B0"/>
    <w:rsid w:val="00615192"/>
    <w:rsid w:val="0062689F"/>
    <w:rsid w:val="0063728D"/>
    <w:rsid w:val="00640786"/>
    <w:rsid w:val="006551B1"/>
    <w:rsid w:val="006624A5"/>
    <w:rsid w:val="006660FA"/>
    <w:rsid w:val="00682922"/>
    <w:rsid w:val="006906BD"/>
    <w:rsid w:val="0069436B"/>
    <w:rsid w:val="0069493E"/>
    <w:rsid w:val="00695E38"/>
    <w:rsid w:val="006963B1"/>
    <w:rsid w:val="006A6C17"/>
    <w:rsid w:val="006A6FC3"/>
    <w:rsid w:val="006B659E"/>
    <w:rsid w:val="006C5B2B"/>
    <w:rsid w:val="006D2BC7"/>
    <w:rsid w:val="006D6D31"/>
    <w:rsid w:val="006E019B"/>
    <w:rsid w:val="006E4C49"/>
    <w:rsid w:val="006F3A8B"/>
    <w:rsid w:val="00706045"/>
    <w:rsid w:val="007130BD"/>
    <w:rsid w:val="0072434B"/>
    <w:rsid w:val="00724AE5"/>
    <w:rsid w:val="00724ED7"/>
    <w:rsid w:val="00731B65"/>
    <w:rsid w:val="00733B6D"/>
    <w:rsid w:val="007531A1"/>
    <w:rsid w:val="007544AB"/>
    <w:rsid w:val="007562CA"/>
    <w:rsid w:val="00761A7F"/>
    <w:rsid w:val="0077091C"/>
    <w:rsid w:val="00781DCD"/>
    <w:rsid w:val="007826A7"/>
    <w:rsid w:val="00792390"/>
    <w:rsid w:val="0079613C"/>
    <w:rsid w:val="007A1DBB"/>
    <w:rsid w:val="007B6738"/>
    <w:rsid w:val="007C01A3"/>
    <w:rsid w:val="007D2A40"/>
    <w:rsid w:val="007F6A68"/>
    <w:rsid w:val="007F6E61"/>
    <w:rsid w:val="00805AFD"/>
    <w:rsid w:val="00806597"/>
    <w:rsid w:val="0081526A"/>
    <w:rsid w:val="00821502"/>
    <w:rsid w:val="00827695"/>
    <w:rsid w:val="00832EA4"/>
    <w:rsid w:val="008344C9"/>
    <w:rsid w:val="00834EAB"/>
    <w:rsid w:val="0084165E"/>
    <w:rsid w:val="00846526"/>
    <w:rsid w:val="008469AD"/>
    <w:rsid w:val="00846D12"/>
    <w:rsid w:val="0085309D"/>
    <w:rsid w:val="00853A90"/>
    <w:rsid w:val="00870F60"/>
    <w:rsid w:val="00872702"/>
    <w:rsid w:val="00872DF6"/>
    <w:rsid w:val="008750FC"/>
    <w:rsid w:val="00875940"/>
    <w:rsid w:val="0088174D"/>
    <w:rsid w:val="008818EB"/>
    <w:rsid w:val="008837BE"/>
    <w:rsid w:val="00893309"/>
    <w:rsid w:val="00893CB4"/>
    <w:rsid w:val="00894B66"/>
    <w:rsid w:val="008A1618"/>
    <w:rsid w:val="008A22E0"/>
    <w:rsid w:val="008A66D7"/>
    <w:rsid w:val="008A75BF"/>
    <w:rsid w:val="008B40C2"/>
    <w:rsid w:val="008E7485"/>
    <w:rsid w:val="008F2210"/>
    <w:rsid w:val="008F25D1"/>
    <w:rsid w:val="008F3E36"/>
    <w:rsid w:val="008F6508"/>
    <w:rsid w:val="008F7B39"/>
    <w:rsid w:val="00911F3F"/>
    <w:rsid w:val="00912FB9"/>
    <w:rsid w:val="009203DB"/>
    <w:rsid w:val="009225DF"/>
    <w:rsid w:val="00923442"/>
    <w:rsid w:val="00950083"/>
    <w:rsid w:val="009508AD"/>
    <w:rsid w:val="00951AA7"/>
    <w:rsid w:val="00951EA1"/>
    <w:rsid w:val="00954C24"/>
    <w:rsid w:val="00964B98"/>
    <w:rsid w:val="009651F0"/>
    <w:rsid w:val="00974632"/>
    <w:rsid w:val="00981AD6"/>
    <w:rsid w:val="00983372"/>
    <w:rsid w:val="0098575C"/>
    <w:rsid w:val="009A14CA"/>
    <w:rsid w:val="009A67D8"/>
    <w:rsid w:val="009B147F"/>
    <w:rsid w:val="009B3C71"/>
    <w:rsid w:val="009B51B0"/>
    <w:rsid w:val="009B6C9D"/>
    <w:rsid w:val="009D6F48"/>
    <w:rsid w:val="009E026E"/>
    <w:rsid w:val="009E26C9"/>
    <w:rsid w:val="009E4D85"/>
    <w:rsid w:val="009F2771"/>
    <w:rsid w:val="009F2AF4"/>
    <w:rsid w:val="009F7626"/>
    <w:rsid w:val="00A037D0"/>
    <w:rsid w:val="00A06737"/>
    <w:rsid w:val="00A109CA"/>
    <w:rsid w:val="00A13A70"/>
    <w:rsid w:val="00A1586D"/>
    <w:rsid w:val="00A17A5F"/>
    <w:rsid w:val="00A21A15"/>
    <w:rsid w:val="00A301F5"/>
    <w:rsid w:val="00A372E0"/>
    <w:rsid w:val="00A40629"/>
    <w:rsid w:val="00A46692"/>
    <w:rsid w:val="00A62F97"/>
    <w:rsid w:val="00A63861"/>
    <w:rsid w:val="00A732AE"/>
    <w:rsid w:val="00A7419F"/>
    <w:rsid w:val="00A848C5"/>
    <w:rsid w:val="00A943B1"/>
    <w:rsid w:val="00A94AAF"/>
    <w:rsid w:val="00AB36FE"/>
    <w:rsid w:val="00AB5FC6"/>
    <w:rsid w:val="00AC41A3"/>
    <w:rsid w:val="00AC4556"/>
    <w:rsid w:val="00AC6B11"/>
    <w:rsid w:val="00AD2C71"/>
    <w:rsid w:val="00AD5CD6"/>
    <w:rsid w:val="00AE0112"/>
    <w:rsid w:val="00AF79BB"/>
    <w:rsid w:val="00B021B8"/>
    <w:rsid w:val="00B024E0"/>
    <w:rsid w:val="00B03933"/>
    <w:rsid w:val="00B0662F"/>
    <w:rsid w:val="00B06D7B"/>
    <w:rsid w:val="00B07146"/>
    <w:rsid w:val="00B07C55"/>
    <w:rsid w:val="00B105D7"/>
    <w:rsid w:val="00B16D75"/>
    <w:rsid w:val="00B16DD1"/>
    <w:rsid w:val="00B21FD7"/>
    <w:rsid w:val="00B45FB9"/>
    <w:rsid w:val="00B50ACB"/>
    <w:rsid w:val="00B537DB"/>
    <w:rsid w:val="00B57107"/>
    <w:rsid w:val="00B60D8E"/>
    <w:rsid w:val="00B73E35"/>
    <w:rsid w:val="00B74534"/>
    <w:rsid w:val="00B74E09"/>
    <w:rsid w:val="00B870AC"/>
    <w:rsid w:val="00B93BE5"/>
    <w:rsid w:val="00B9419F"/>
    <w:rsid w:val="00B94A78"/>
    <w:rsid w:val="00B9766A"/>
    <w:rsid w:val="00BA2F48"/>
    <w:rsid w:val="00BB1D85"/>
    <w:rsid w:val="00BB3376"/>
    <w:rsid w:val="00BB33F9"/>
    <w:rsid w:val="00BC0996"/>
    <w:rsid w:val="00BC5492"/>
    <w:rsid w:val="00BC5D47"/>
    <w:rsid w:val="00BC73C2"/>
    <w:rsid w:val="00BD15AF"/>
    <w:rsid w:val="00BE0B53"/>
    <w:rsid w:val="00C02EDE"/>
    <w:rsid w:val="00C067BD"/>
    <w:rsid w:val="00C14158"/>
    <w:rsid w:val="00C33ED8"/>
    <w:rsid w:val="00C35048"/>
    <w:rsid w:val="00C36AA3"/>
    <w:rsid w:val="00C44B94"/>
    <w:rsid w:val="00C45395"/>
    <w:rsid w:val="00C53E3D"/>
    <w:rsid w:val="00C5723F"/>
    <w:rsid w:val="00C71E05"/>
    <w:rsid w:val="00C7341C"/>
    <w:rsid w:val="00C83C45"/>
    <w:rsid w:val="00C843FD"/>
    <w:rsid w:val="00C87863"/>
    <w:rsid w:val="00C92EE9"/>
    <w:rsid w:val="00CA2461"/>
    <w:rsid w:val="00CA3440"/>
    <w:rsid w:val="00CA3601"/>
    <w:rsid w:val="00CA5AC5"/>
    <w:rsid w:val="00CA5ED6"/>
    <w:rsid w:val="00CA6116"/>
    <w:rsid w:val="00CB4DA6"/>
    <w:rsid w:val="00CC2157"/>
    <w:rsid w:val="00CC394F"/>
    <w:rsid w:val="00CC4E41"/>
    <w:rsid w:val="00CC7C9D"/>
    <w:rsid w:val="00CD0F64"/>
    <w:rsid w:val="00CE1FDC"/>
    <w:rsid w:val="00CE5606"/>
    <w:rsid w:val="00CF7A20"/>
    <w:rsid w:val="00D01CFC"/>
    <w:rsid w:val="00D02B46"/>
    <w:rsid w:val="00D13D39"/>
    <w:rsid w:val="00D23F4F"/>
    <w:rsid w:val="00D248D3"/>
    <w:rsid w:val="00D305BC"/>
    <w:rsid w:val="00D42C25"/>
    <w:rsid w:val="00D44865"/>
    <w:rsid w:val="00D53147"/>
    <w:rsid w:val="00D5357B"/>
    <w:rsid w:val="00D5742B"/>
    <w:rsid w:val="00D70D49"/>
    <w:rsid w:val="00D7415B"/>
    <w:rsid w:val="00D744CD"/>
    <w:rsid w:val="00D81A1D"/>
    <w:rsid w:val="00D8549B"/>
    <w:rsid w:val="00D92BFC"/>
    <w:rsid w:val="00D97338"/>
    <w:rsid w:val="00DA468C"/>
    <w:rsid w:val="00DA4DE0"/>
    <w:rsid w:val="00DB01EC"/>
    <w:rsid w:val="00DB1043"/>
    <w:rsid w:val="00DB158D"/>
    <w:rsid w:val="00DB195D"/>
    <w:rsid w:val="00DB351F"/>
    <w:rsid w:val="00DB5A6E"/>
    <w:rsid w:val="00DB717C"/>
    <w:rsid w:val="00DB7B0D"/>
    <w:rsid w:val="00DC1C52"/>
    <w:rsid w:val="00DE2253"/>
    <w:rsid w:val="00DE627D"/>
    <w:rsid w:val="00DE7F71"/>
    <w:rsid w:val="00DF0146"/>
    <w:rsid w:val="00DF29E9"/>
    <w:rsid w:val="00DF3849"/>
    <w:rsid w:val="00DF5A7D"/>
    <w:rsid w:val="00E01BFA"/>
    <w:rsid w:val="00E0408F"/>
    <w:rsid w:val="00E14024"/>
    <w:rsid w:val="00E15A29"/>
    <w:rsid w:val="00E16154"/>
    <w:rsid w:val="00E23DFB"/>
    <w:rsid w:val="00E24F77"/>
    <w:rsid w:val="00E25126"/>
    <w:rsid w:val="00E25F71"/>
    <w:rsid w:val="00E26272"/>
    <w:rsid w:val="00E279AE"/>
    <w:rsid w:val="00E30027"/>
    <w:rsid w:val="00E37D6F"/>
    <w:rsid w:val="00E4097B"/>
    <w:rsid w:val="00E55F50"/>
    <w:rsid w:val="00E61E78"/>
    <w:rsid w:val="00E62EB2"/>
    <w:rsid w:val="00E651D5"/>
    <w:rsid w:val="00E65764"/>
    <w:rsid w:val="00E74A37"/>
    <w:rsid w:val="00E751F2"/>
    <w:rsid w:val="00E819AE"/>
    <w:rsid w:val="00E84866"/>
    <w:rsid w:val="00EA3BB3"/>
    <w:rsid w:val="00EB08CB"/>
    <w:rsid w:val="00EB6ACB"/>
    <w:rsid w:val="00EC1FF9"/>
    <w:rsid w:val="00EC6BE4"/>
    <w:rsid w:val="00EC6E38"/>
    <w:rsid w:val="00ED31A1"/>
    <w:rsid w:val="00ED6C01"/>
    <w:rsid w:val="00ED7572"/>
    <w:rsid w:val="00F02BE7"/>
    <w:rsid w:val="00F076BE"/>
    <w:rsid w:val="00F11CDB"/>
    <w:rsid w:val="00F14A01"/>
    <w:rsid w:val="00F175F7"/>
    <w:rsid w:val="00F260D3"/>
    <w:rsid w:val="00F304AA"/>
    <w:rsid w:val="00F41713"/>
    <w:rsid w:val="00F46319"/>
    <w:rsid w:val="00F5134F"/>
    <w:rsid w:val="00F710A7"/>
    <w:rsid w:val="00FA57EE"/>
    <w:rsid w:val="00FA68C9"/>
    <w:rsid w:val="00FA6AB8"/>
    <w:rsid w:val="00FA6DB2"/>
    <w:rsid w:val="00FB1A03"/>
    <w:rsid w:val="00FB2A11"/>
    <w:rsid w:val="00FB3BA9"/>
    <w:rsid w:val="00FB4243"/>
    <w:rsid w:val="00FC29F4"/>
    <w:rsid w:val="00FC3BDE"/>
    <w:rsid w:val="00FF5208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CEF669BE-F6A0-410F-89E0-30F1C372C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ED9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C5ED9"/>
    <w:pPr>
      <w:keepNext/>
      <w:keepLines/>
      <w:spacing w:before="480" w:after="120"/>
      <w:outlineLvl w:val="0"/>
    </w:pPr>
    <w:rPr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1C5ED9"/>
    <w:pPr>
      <w:keepNext/>
      <w:keepLines/>
      <w:spacing w:before="360" w:after="80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1C5ED9"/>
    <w:pPr>
      <w:keepNext/>
      <w:keepLines/>
      <w:spacing w:before="280" w:after="80"/>
      <w:outlineLvl w:val="2"/>
    </w:pPr>
    <w:rPr>
      <w:b/>
      <w:bCs/>
      <w:sz w:val="28"/>
      <w:szCs w:val="28"/>
      <w:lang w:eastAsia="ru-RU"/>
    </w:rPr>
  </w:style>
  <w:style w:type="paragraph" w:styleId="4">
    <w:name w:val="heading 4"/>
    <w:basedOn w:val="a"/>
    <w:link w:val="40"/>
    <w:qFormat/>
    <w:rsid w:val="001C5ED9"/>
    <w:pPr>
      <w:spacing w:before="100" w:beforeAutospacing="1" w:after="100" w:afterAutospacing="1" w:line="240" w:lineRule="auto"/>
      <w:outlineLvl w:val="3"/>
    </w:pPr>
    <w:rPr>
      <w:rFonts w:ascii="Times New Roman" w:eastAsia="Calibri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next w:val="a"/>
    <w:link w:val="50"/>
    <w:qFormat/>
    <w:rsid w:val="001C5ED9"/>
    <w:pPr>
      <w:keepNext/>
      <w:keepLines/>
      <w:spacing w:before="220" w:after="40"/>
      <w:outlineLvl w:val="4"/>
    </w:pPr>
    <w:rPr>
      <w:b/>
      <w:bCs/>
      <w:lang w:eastAsia="ru-RU"/>
    </w:rPr>
  </w:style>
  <w:style w:type="paragraph" w:styleId="6">
    <w:name w:val="heading 6"/>
    <w:basedOn w:val="a"/>
    <w:next w:val="a"/>
    <w:link w:val="60"/>
    <w:qFormat/>
    <w:rsid w:val="001C5ED9"/>
    <w:pPr>
      <w:keepNext/>
      <w:keepLines/>
      <w:spacing w:before="200" w:after="40"/>
      <w:outlineLvl w:val="5"/>
    </w:pPr>
    <w:rPr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C5ED9"/>
    <w:rPr>
      <w:rFonts w:ascii="Calibri" w:hAnsi="Calibri" w:cs="Calibri"/>
      <w:b/>
      <w:bCs/>
      <w:sz w:val="48"/>
      <w:szCs w:val="48"/>
      <w:lang w:val="x-none" w:eastAsia="ru-RU"/>
    </w:rPr>
  </w:style>
  <w:style w:type="character" w:customStyle="1" w:styleId="20">
    <w:name w:val="Заголовок 2 Знак"/>
    <w:link w:val="2"/>
    <w:locked/>
    <w:rsid w:val="001C5ED9"/>
    <w:rPr>
      <w:rFonts w:ascii="Calibri" w:hAnsi="Calibri" w:cs="Calibri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link w:val="3"/>
    <w:locked/>
    <w:rsid w:val="001C5ED9"/>
    <w:rPr>
      <w:rFonts w:ascii="Calibri" w:hAnsi="Calibri" w:cs="Calibri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link w:val="4"/>
    <w:locked/>
    <w:rsid w:val="001C5ED9"/>
    <w:rPr>
      <w:rFonts w:ascii="Times New Roman" w:hAnsi="Times New Roman" w:cs="Times New Roman"/>
      <w:b/>
      <w:bCs/>
      <w:sz w:val="24"/>
      <w:szCs w:val="24"/>
      <w:lang w:val="x-none" w:eastAsia="uk-UA"/>
    </w:rPr>
  </w:style>
  <w:style w:type="character" w:customStyle="1" w:styleId="50">
    <w:name w:val="Заголовок 5 Знак"/>
    <w:link w:val="5"/>
    <w:locked/>
    <w:rsid w:val="001C5ED9"/>
    <w:rPr>
      <w:rFonts w:ascii="Calibri" w:hAnsi="Calibri" w:cs="Calibri"/>
      <w:b/>
      <w:bCs/>
      <w:lang w:val="x-none" w:eastAsia="ru-RU"/>
    </w:rPr>
  </w:style>
  <w:style w:type="character" w:customStyle="1" w:styleId="60">
    <w:name w:val="Заголовок 6 Знак"/>
    <w:link w:val="6"/>
    <w:locked/>
    <w:rsid w:val="001C5ED9"/>
    <w:rPr>
      <w:rFonts w:ascii="Calibri" w:hAnsi="Calibri" w:cs="Calibri"/>
      <w:b/>
      <w:bCs/>
      <w:sz w:val="20"/>
      <w:szCs w:val="20"/>
      <w:lang w:val="x-none" w:eastAsia="ru-RU"/>
    </w:rPr>
  </w:style>
  <w:style w:type="table" w:customStyle="1" w:styleId="TableNormal1">
    <w:name w:val="Table Normal1"/>
    <w:rsid w:val="001C5ED9"/>
    <w:pPr>
      <w:spacing w:after="160" w:line="259" w:lineRule="auto"/>
    </w:pPr>
    <w:rPr>
      <w:rFonts w:eastAsia="Times New Roman" w:cs="Calibri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1C5ED9"/>
    <w:pPr>
      <w:keepNext/>
      <w:keepLines/>
      <w:spacing w:before="480" w:after="120"/>
    </w:pPr>
    <w:rPr>
      <w:b/>
      <w:bCs/>
      <w:sz w:val="72"/>
      <w:szCs w:val="72"/>
      <w:lang w:eastAsia="ru-RU"/>
    </w:rPr>
  </w:style>
  <w:style w:type="character" w:customStyle="1" w:styleId="a4">
    <w:name w:val="Назва Знак"/>
    <w:link w:val="a3"/>
    <w:locked/>
    <w:rsid w:val="001C5ED9"/>
    <w:rPr>
      <w:rFonts w:ascii="Calibri" w:hAnsi="Calibri" w:cs="Calibri"/>
      <w:b/>
      <w:bCs/>
      <w:sz w:val="72"/>
      <w:szCs w:val="72"/>
      <w:lang w:val="x-none" w:eastAsia="ru-RU"/>
    </w:rPr>
  </w:style>
  <w:style w:type="paragraph" w:styleId="a5">
    <w:name w:val="header"/>
    <w:basedOn w:val="a"/>
    <w:link w:val="a6"/>
    <w:uiPriority w:val="99"/>
    <w:rsid w:val="001C5ED9"/>
    <w:pPr>
      <w:tabs>
        <w:tab w:val="center" w:pos="4819"/>
        <w:tab w:val="right" w:pos="9639"/>
      </w:tabs>
      <w:spacing w:after="0" w:line="240" w:lineRule="auto"/>
    </w:pPr>
    <w:rPr>
      <w:lang w:eastAsia="ru-RU"/>
    </w:rPr>
  </w:style>
  <w:style w:type="character" w:customStyle="1" w:styleId="a6">
    <w:name w:val="Верхній колонтитул Знак"/>
    <w:link w:val="a5"/>
    <w:uiPriority w:val="99"/>
    <w:locked/>
    <w:rsid w:val="001C5ED9"/>
    <w:rPr>
      <w:rFonts w:ascii="Calibri" w:hAnsi="Calibri" w:cs="Calibri"/>
      <w:lang w:val="x-none" w:eastAsia="ru-RU"/>
    </w:rPr>
  </w:style>
  <w:style w:type="paragraph" w:styleId="a7">
    <w:name w:val="footer"/>
    <w:basedOn w:val="a"/>
    <w:link w:val="a8"/>
    <w:rsid w:val="001C5ED9"/>
    <w:pPr>
      <w:tabs>
        <w:tab w:val="center" w:pos="4819"/>
        <w:tab w:val="right" w:pos="9639"/>
      </w:tabs>
      <w:spacing w:after="0" w:line="240" w:lineRule="auto"/>
    </w:pPr>
    <w:rPr>
      <w:lang w:eastAsia="ru-RU"/>
    </w:rPr>
  </w:style>
  <w:style w:type="character" w:customStyle="1" w:styleId="a8">
    <w:name w:val="Нижній колонтитул Знак"/>
    <w:link w:val="a7"/>
    <w:locked/>
    <w:rsid w:val="001C5ED9"/>
    <w:rPr>
      <w:rFonts w:ascii="Calibri" w:hAnsi="Calibri" w:cs="Calibri"/>
      <w:lang w:val="x-none" w:eastAsia="ru-RU"/>
    </w:rPr>
  </w:style>
  <w:style w:type="character" w:styleId="a9">
    <w:name w:val="Hyperlink"/>
    <w:rsid w:val="001C5ED9"/>
    <w:rPr>
      <w:rFonts w:cs="Times New Roman"/>
      <w:color w:val="auto"/>
      <w:u w:val="single"/>
    </w:rPr>
  </w:style>
  <w:style w:type="paragraph" w:customStyle="1" w:styleId="11">
    <w:name w:val="Абзац списку1"/>
    <w:aliases w:val="List Paragraph1,Left Bullet L1,Bullet Points,Liste Paragraf,Numbered Standard,Bullet Styles para,Heading 2_sj,Numbered Para 1,Dot pt,No Spacing1,List Paragraph Char Char Char,Indicator Text,Bullet 1,MAIN CONTENT,List Paragraph11"/>
    <w:basedOn w:val="a"/>
    <w:link w:val="ListParagraphChar"/>
    <w:rsid w:val="001C5ED9"/>
    <w:pPr>
      <w:ind w:left="720"/>
    </w:pPr>
    <w:rPr>
      <w:rFonts w:cs="Times New Roman"/>
      <w:sz w:val="20"/>
      <w:szCs w:val="20"/>
      <w:lang w:eastAsia="ru-RU"/>
    </w:rPr>
  </w:style>
  <w:style w:type="character" w:customStyle="1" w:styleId="21">
    <w:name w:val="Основний текст (2)_"/>
    <w:link w:val="22"/>
    <w:locked/>
    <w:rsid w:val="001C5ED9"/>
    <w:rPr>
      <w:sz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1C5ED9"/>
    <w:pPr>
      <w:widowControl w:val="0"/>
      <w:shd w:val="clear" w:color="auto" w:fill="FFFFFF"/>
      <w:spacing w:before="360" w:after="120" w:line="350" w:lineRule="exact"/>
      <w:ind w:hanging="360"/>
      <w:jc w:val="center"/>
    </w:pPr>
    <w:rPr>
      <w:rFonts w:cs="Times New Roman"/>
      <w:sz w:val="28"/>
      <w:szCs w:val="28"/>
      <w:lang w:eastAsia="uk-UA"/>
    </w:rPr>
  </w:style>
  <w:style w:type="character" w:styleId="aa">
    <w:name w:val="Emphasis"/>
    <w:qFormat/>
    <w:rsid w:val="001C5ED9"/>
    <w:rPr>
      <w:rFonts w:cs="Times New Roman"/>
      <w:i/>
      <w:iCs/>
    </w:rPr>
  </w:style>
  <w:style w:type="paragraph" w:customStyle="1" w:styleId="docdata">
    <w:name w:val="docdata"/>
    <w:aliases w:val="docy,v5,14228,baiaagaaboqcaaadyjuaaaxynq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ab">
    <w:name w:val="Normal (Web)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styleId="ac">
    <w:name w:val="Strong"/>
    <w:qFormat/>
    <w:rsid w:val="001C5ED9"/>
    <w:rPr>
      <w:rFonts w:cs="Times New Roman"/>
      <w:b/>
      <w:bCs/>
    </w:rPr>
  </w:style>
  <w:style w:type="paragraph" w:customStyle="1" w:styleId="rvps2">
    <w:name w:val="rvps2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customStyle="1" w:styleId="rvts9">
    <w:name w:val="rvts9"/>
    <w:rsid w:val="001C5ED9"/>
    <w:rPr>
      <w:rFonts w:cs="Times New Roman"/>
    </w:rPr>
  </w:style>
  <w:style w:type="character" w:customStyle="1" w:styleId="1825">
    <w:name w:val="1825"/>
    <w:aliases w:val="baiaagaaboqcaaadwguaaavobq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1832">
    <w:name w:val="1832"/>
    <w:aliases w:val="baiaagaaboqcaaadyquaaavvbq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paragraph" w:customStyle="1" w:styleId="12">
    <w:name w:val="Абзац списку1"/>
    <w:basedOn w:val="a"/>
    <w:rsid w:val="001C5ED9"/>
    <w:pPr>
      <w:spacing w:after="0" w:line="276" w:lineRule="auto"/>
      <w:ind w:left="720"/>
    </w:pPr>
    <w:rPr>
      <w:rFonts w:eastAsia="Calibri"/>
      <w:lang w:eastAsia="ru-RU"/>
    </w:rPr>
  </w:style>
  <w:style w:type="character" w:customStyle="1" w:styleId="1863">
    <w:name w:val="1863"/>
    <w:aliases w:val="baiaagaaboqcaaadgauaaawobq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9082">
    <w:name w:val="9082"/>
    <w:aliases w:val="baiaagaabrwdaaaduh8aaaxi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9040">
    <w:name w:val="9040"/>
    <w:aliases w:val="baiaagaabrwdaaadkb8aaawe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9108">
    <w:name w:val="9108"/>
    <w:aliases w:val="baiaagaabrwdaaad1b8aaaxi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10880">
    <w:name w:val="10880"/>
    <w:aliases w:val="baiaagaabrwdaaadwr8aaaxojg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8955">
    <w:name w:val="8955"/>
    <w:aliases w:val="baiaagaabrwdaaadox8aaavj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8618">
    <w:name w:val="8618"/>
    <w:aliases w:val="baiaagaabrwdaaad4x8aaaxx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11097">
    <w:name w:val="11097"/>
    <w:aliases w:val="baiaagaabrwdaaadsh8aaawnjw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11270">
    <w:name w:val="11270"/>
    <w:aliases w:val="baiaagaabrwdaaad9x8aaavuk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11302">
    <w:name w:val="11302"/>
    <w:aliases w:val="baiaagaabrwdaaadfyaaaav0k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8425">
    <w:name w:val="8425"/>
    <w:aliases w:val="baiaagaabrwdaaadih8aaauw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paragraph" w:styleId="ad">
    <w:name w:val="Subtitle"/>
    <w:basedOn w:val="a"/>
    <w:next w:val="a"/>
    <w:link w:val="ae"/>
    <w:qFormat/>
    <w:rsid w:val="001C5ED9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  <w:lang w:eastAsia="ru-RU"/>
    </w:rPr>
  </w:style>
  <w:style w:type="character" w:customStyle="1" w:styleId="ae">
    <w:name w:val="Підзаголовок Знак"/>
    <w:link w:val="ad"/>
    <w:locked/>
    <w:rsid w:val="001C5ED9"/>
    <w:rPr>
      <w:rFonts w:ascii="Georgia" w:hAnsi="Georgia" w:cs="Georgia"/>
      <w:i/>
      <w:iCs/>
      <w:color w:val="666666"/>
      <w:sz w:val="48"/>
      <w:szCs w:val="48"/>
      <w:lang w:val="x-none" w:eastAsia="ru-RU"/>
    </w:rPr>
  </w:style>
  <w:style w:type="paragraph" w:styleId="af">
    <w:name w:val="Balloon Text"/>
    <w:basedOn w:val="a"/>
    <w:link w:val="af0"/>
    <w:semiHidden/>
    <w:rsid w:val="001C5ED9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0">
    <w:name w:val="Текст у виносці Знак"/>
    <w:link w:val="af"/>
    <w:semiHidden/>
    <w:locked/>
    <w:rsid w:val="001C5ED9"/>
    <w:rPr>
      <w:rFonts w:ascii="Tahoma" w:hAnsi="Tahoma" w:cs="Tahoma"/>
      <w:sz w:val="16"/>
      <w:szCs w:val="16"/>
      <w:lang w:val="x-none" w:eastAsia="ru-RU"/>
    </w:rPr>
  </w:style>
  <w:style w:type="paragraph" w:customStyle="1" w:styleId="13">
    <w:name w:val="Без інтервалів1"/>
    <w:rsid w:val="001C5ED9"/>
    <w:rPr>
      <w:rFonts w:eastAsia="Times New Roman" w:cs="Calibri"/>
      <w:sz w:val="22"/>
      <w:szCs w:val="22"/>
      <w:lang w:eastAsia="ru-RU"/>
    </w:rPr>
  </w:style>
  <w:style w:type="character" w:customStyle="1" w:styleId="1569">
    <w:name w:val="1569"/>
    <w:aliases w:val="baiaagaaboqcaaadwgqaaavoba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2100">
    <w:name w:val="2100"/>
    <w:aliases w:val="baiaagaaboqcaaadbqyaaav7bg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ListParagraphChar">
    <w:name w:val="List Paragraph Char"/>
    <w:aliases w:val="List Paragraph1 Char,Left Bullet L1 Char,Bullet Points Char,Liste Paragraf Char,Numbered Standard Char,Bullet Styles para Char,Heading 2_sj Char,Numbered Para 1 Char,Dot pt Char,No Spacing1 Char,List Paragraph Char Char Char Char"/>
    <w:link w:val="11"/>
    <w:locked/>
    <w:rsid w:val="001C5ED9"/>
    <w:rPr>
      <w:rFonts w:ascii="Calibri" w:hAnsi="Calibri"/>
      <w:lang w:val="x-none" w:eastAsia="ru-RU"/>
    </w:rPr>
  </w:style>
  <w:style w:type="paragraph" w:customStyle="1" w:styleId="1685">
    <w:name w:val="1685"/>
    <w:aliases w:val="baiaagaaboqcaaadzgqaaaxcb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753">
    <w:name w:val="1753"/>
    <w:aliases w:val="baiaagaaboqcaaadeguaaaugb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2167">
    <w:name w:val="2167"/>
    <w:aliases w:val="baiaagaaboqcaaadcwqaaawbb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2542">
    <w:name w:val="2542"/>
    <w:aliases w:val="baiaagaaboqcaaadjwgaaau1c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2383">
    <w:name w:val="2383"/>
    <w:aliases w:val="baiaagaaboqcaaad+wqaaaujb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748">
    <w:name w:val="1748"/>
    <w:aliases w:val="baiaagaaboqcaaadvqqaaaxlb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943">
    <w:name w:val="1943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629">
    <w:name w:val="1629"/>
    <w:aliases w:val="baiaagaaboqcaaadrgqaaavub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883">
    <w:name w:val="1883"/>
    <w:aliases w:val="baiaagaaboqcaaadrauaaavsb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807">
    <w:name w:val="1807"/>
    <w:aliases w:val="baiaagaaboqcaaad+aqaaaugb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af1">
    <w:name w:val="footnote text"/>
    <w:basedOn w:val="a"/>
    <w:link w:val="af2"/>
    <w:semiHidden/>
    <w:rsid w:val="001C5ED9"/>
    <w:pPr>
      <w:suppressAutoHyphens/>
      <w:spacing w:after="0" w:line="240" w:lineRule="auto"/>
    </w:pPr>
    <w:rPr>
      <w:kern w:val="1"/>
      <w:sz w:val="20"/>
      <w:szCs w:val="20"/>
      <w:lang w:eastAsia="uk-UA"/>
    </w:rPr>
  </w:style>
  <w:style w:type="character" w:customStyle="1" w:styleId="af2">
    <w:name w:val="Текст виноски Знак"/>
    <w:link w:val="af1"/>
    <w:semiHidden/>
    <w:locked/>
    <w:rsid w:val="001C5ED9"/>
    <w:rPr>
      <w:rFonts w:ascii="Calibri" w:hAnsi="Calibri" w:cs="Calibri"/>
      <w:kern w:val="1"/>
      <w:sz w:val="20"/>
      <w:szCs w:val="20"/>
      <w:lang w:val="x-none" w:eastAsia="uk-UA"/>
    </w:rPr>
  </w:style>
  <w:style w:type="character" w:styleId="af3">
    <w:name w:val="footnote reference"/>
    <w:semiHidden/>
    <w:rsid w:val="001C5ED9"/>
    <w:rPr>
      <w:rFonts w:cs="Times New Roman"/>
      <w:vertAlign w:val="superscript"/>
    </w:rPr>
  </w:style>
  <w:style w:type="paragraph" w:customStyle="1" w:styleId="1422">
    <w:name w:val="1422"/>
    <w:aliases w:val="baiaagaaboqcaaadxwmaaaxva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2853">
    <w:name w:val="2853"/>
    <w:aliases w:val="baiaagaaboqcaaaddqcaaaubb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TableContents">
    <w:name w:val="Table Contents"/>
    <w:basedOn w:val="a"/>
    <w:rsid w:val="001C5ED9"/>
    <w:pPr>
      <w:suppressLineNumbers/>
      <w:spacing w:after="0" w:line="240" w:lineRule="auto"/>
    </w:pPr>
    <w:rPr>
      <w:rFonts w:ascii="Liberation Serif" w:eastAsia="NSimSun" w:hAnsi="Liberation Serif" w:cs="Liberation Serif"/>
      <w:kern w:val="2"/>
      <w:sz w:val="24"/>
      <w:szCs w:val="24"/>
      <w:lang w:eastAsia="zh-CN"/>
    </w:rPr>
  </w:style>
  <w:style w:type="paragraph" w:styleId="23">
    <w:name w:val="Body Text 2"/>
    <w:basedOn w:val="a"/>
    <w:link w:val="24"/>
    <w:rsid w:val="001C5ED9"/>
    <w:pPr>
      <w:spacing w:after="200" w:line="276" w:lineRule="auto"/>
      <w:jc w:val="both"/>
    </w:pPr>
    <w:rPr>
      <w:rFonts w:ascii="Cambria" w:eastAsia="Calibri" w:hAnsi="Cambria" w:cs="Cambria"/>
      <w:sz w:val="28"/>
      <w:szCs w:val="28"/>
      <w:lang w:eastAsia="uk-UA"/>
    </w:rPr>
  </w:style>
  <w:style w:type="character" w:customStyle="1" w:styleId="24">
    <w:name w:val="Основний текст 2 Знак"/>
    <w:link w:val="23"/>
    <w:locked/>
    <w:rsid w:val="001C5ED9"/>
    <w:rPr>
      <w:rFonts w:ascii="Cambria" w:hAnsi="Cambria" w:cs="Cambria"/>
      <w:sz w:val="20"/>
      <w:szCs w:val="20"/>
      <w:lang w:val="x-none" w:eastAsia="uk-UA"/>
    </w:rPr>
  </w:style>
  <w:style w:type="paragraph" w:customStyle="1" w:styleId="HeadingA4">
    <w:name w:val="Heading A4"/>
    <w:basedOn w:val="a"/>
    <w:rsid w:val="001C5ED9"/>
    <w:pPr>
      <w:suppressLineNumbers/>
      <w:spacing w:before="120" w:after="120" w:line="240" w:lineRule="auto"/>
    </w:pPr>
    <w:rPr>
      <w:rFonts w:ascii="Noto Sans" w:eastAsia="NSimSun" w:hAnsi="Noto Sans" w:cs="Noto Sans"/>
      <w:i/>
      <w:iCs/>
      <w:kern w:val="2"/>
      <w:sz w:val="48"/>
      <w:szCs w:val="48"/>
      <w:lang w:eastAsia="zh-CN"/>
    </w:rPr>
  </w:style>
  <w:style w:type="paragraph" w:customStyle="1" w:styleId="TextA4">
    <w:name w:val="Text A4"/>
    <w:basedOn w:val="a"/>
    <w:rsid w:val="001C5ED9"/>
    <w:pPr>
      <w:suppressLineNumbers/>
      <w:spacing w:before="120" w:after="120" w:line="240" w:lineRule="auto"/>
    </w:pPr>
    <w:rPr>
      <w:rFonts w:ascii="Noto Sans" w:eastAsia="NSimSun" w:hAnsi="Noto Sans" w:cs="Noto Sans"/>
      <w:i/>
      <w:iCs/>
      <w:kern w:val="2"/>
      <w:sz w:val="36"/>
      <w:szCs w:val="36"/>
      <w:lang w:eastAsia="zh-CN"/>
    </w:rPr>
  </w:style>
  <w:style w:type="paragraph" w:customStyle="1" w:styleId="3615">
    <w:name w:val="3615"/>
    <w:aliases w:val="baiaagaaboqcaaadwawaaavmd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4267">
    <w:name w:val="4267"/>
    <w:aliases w:val="baiaagaaboqcaaad5a4aaaxydg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6046">
    <w:name w:val="6046"/>
    <w:aliases w:val="baiaagaaboqcaaad1xuaaaxlf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4971">
    <w:name w:val="4971"/>
    <w:aliases w:val="baiaagaaboqcaaadpbeaaawye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7189">
    <w:name w:val="7189"/>
    <w:aliases w:val="baiaagaaboqcaaadthoaaavcgg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2683">
    <w:name w:val="2683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7628">
    <w:name w:val="7628"/>
    <w:aliases w:val="baiaagaaboqcaaadqhcaaaw4f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5516">
    <w:name w:val="5516"/>
    <w:aliases w:val="baiaagaaboqcaaadxrmaaaxte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6525">
    <w:name w:val="6525"/>
    <w:aliases w:val="baiaagaaboqcaaadthcaaaxef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8081">
    <w:name w:val="8081"/>
    <w:aliases w:val="baiaagaaboqcaaadyh0aaaxyh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3375">
    <w:name w:val="3375"/>
    <w:aliases w:val="baiaagaaboqcaaadaasaaav2c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styleId="af4">
    <w:name w:val="annotation reference"/>
    <w:semiHidden/>
    <w:rsid w:val="00CD0F64"/>
    <w:rPr>
      <w:rFonts w:cs="Times New Roman"/>
      <w:sz w:val="16"/>
      <w:szCs w:val="16"/>
    </w:rPr>
  </w:style>
  <w:style w:type="paragraph" w:styleId="af5">
    <w:name w:val="annotation text"/>
    <w:basedOn w:val="a"/>
    <w:link w:val="af6"/>
    <w:semiHidden/>
    <w:rsid w:val="00CD0F64"/>
    <w:pPr>
      <w:spacing w:line="240" w:lineRule="auto"/>
    </w:pPr>
    <w:rPr>
      <w:sz w:val="20"/>
      <w:szCs w:val="20"/>
    </w:rPr>
  </w:style>
  <w:style w:type="character" w:customStyle="1" w:styleId="af6">
    <w:name w:val="Текст примітки Знак"/>
    <w:link w:val="af5"/>
    <w:semiHidden/>
    <w:locked/>
    <w:rsid w:val="00CD0F64"/>
    <w:rPr>
      <w:rFonts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semiHidden/>
    <w:rsid w:val="00CD0F64"/>
    <w:rPr>
      <w:b/>
      <w:bCs/>
    </w:rPr>
  </w:style>
  <w:style w:type="character" w:customStyle="1" w:styleId="af8">
    <w:name w:val="Тема примітки Знак"/>
    <w:link w:val="af7"/>
    <w:semiHidden/>
    <w:locked/>
    <w:rsid w:val="00CD0F64"/>
    <w:rPr>
      <w:rFonts w:cs="Times New Roman"/>
      <w:b/>
      <w:bCs/>
      <w:sz w:val="20"/>
      <w:szCs w:val="20"/>
    </w:rPr>
  </w:style>
  <w:style w:type="character" w:styleId="af9">
    <w:name w:val="Subtle Emphasis"/>
    <w:uiPriority w:val="19"/>
    <w:qFormat/>
    <w:rsid w:val="00FA6AB8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6C52B-BF44-471E-BDA9-99576C4F1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34752</Words>
  <Characters>19809</Characters>
  <Application>Microsoft Office Word</Application>
  <DocSecurity>0</DocSecurity>
  <Lines>165</Lines>
  <Paragraphs>108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Krokoz™</Company>
  <LinksUpToDate>false</LinksUpToDate>
  <CharactersWithSpaces>54453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Наталія Пастушенко</dc:creator>
  <cp:keywords/>
  <cp:lastModifiedBy>user32</cp:lastModifiedBy>
  <cp:revision>15</cp:revision>
  <cp:lastPrinted>2023-07-27T05:40:00Z</cp:lastPrinted>
  <dcterms:created xsi:type="dcterms:W3CDTF">2023-07-25T11:34:00Z</dcterms:created>
  <dcterms:modified xsi:type="dcterms:W3CDTF">2023-07-27T05:43:00Z</dcterms:modified>
</cp:coreProperties>
</file>