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A3E" w:rsidRDefault="00AB3A3E" w:rsidP="00414FC1">
      <w:pPr>
        <w:keepNext/>
        <w:autoSpaceDE w:val="0"/>
        <w:autoSpaceDN w:val="0"/>
        <w:ind w:left="5670" w:right="-142"/>
        <w:outlineLvl w:val="2"/>
        <w:rPr>
          <w:rFonts w:eastAsia="Times New Roman"/>
          <w:bCs/>
          <w:sz w:val="28"/>
          <w:szCs w:val="28"/>
          <w:lang w:eastAsia="x-none"/>
        </w:rPr>
      </w:pPr>
      <w:bookmarkStart w:id="0" w:name="_GoBack"/>
      <w:bookmarkEnd w:id="0"/>
      <w:r>
        <w:rPr>
          <w:rFonts w:eastAsia="Times New Roman"/>
          <w:bCs/>
          <w:sz w:val="28"/>
          <w:szCs w:val="28"/>
          <w:lang w:eastAsia="x-none"/>
        </w:rPr>
        <w:t>Додаток</w:t>
      </w:r>
      <w:r w:rsidR="00BC39C8">
        <w:rPr>
          <w:rFonts w:eastAsia="Times New Roman"/>
          <w:bCs/>
          <w:sz w:val="28"/>
          <w:szCs w:val="28"/>
          <w:lang w:eastAsia="x-none"/>
        </w:rPr>
        <w:t xml:space="preserve"> 1</w:t>
      </w:r>
      <w:r>
        <w:rPr>
          <w:rFonts w:eastAsia="Times New Roman"/>
          <w:bCs/>
          <w:sz w:val="28"/>
          <w:szCs w:val="28"/>
          <w:lang w:eastAsia="x-none"/>
        </w:rPr>
        <w:t xml:space="preserve">  </w:t>
      </w:r>
    </w:p>
    <w:p w:rsidR="00FF3EA3" w:rsidRPr="00FF3EA3" w:rsidRDefault="00414FC1" w:rsidP="00414FC1">
      <w:pPr>
        <w:keepNext/>
        <w:autoSpaceDE w:val="0"/>
        <w:autoSpaceDN w:val="0"/>
        <w:ind w:left="5670" w:right="-142"/>
        <w:outlineLvl w:val="2"/>
        <w:rPr>
          <w:rFonts w:eastAsia="Times New Roman"/>
          <w:bCs/>
          <w:sz w:val="28"/>
          <w:szCs w:val="28"/>
          <w:lang w:eastAsia="x-none"/>
        </w:rPr>
      </w:pPr>
      <w:r>
        <w:rPr>
          <w:rFonts w:eastAsia="Times New Roman"/>
          <w:bCs/>
          <w:sz w:val="28"/>
          <w:szCs w:val="28"/>
          <w:lang w:eastAsia="x-none"/>
        </w:rPr>
        <w:t xml:space="preserve">до </w:t>
      </w:r>
      <w:r w:rsidR="00FF3EA3" w:rsidRPr="00FF3EA3">
        <w:rPr>
          <w:rFonts w:eastAsia="Times New Roman"/>
          <w:bCs/>
          <w:sz w:val="28"/>
          <w:szCs w:val="28"/>
          <w:lang w:eastAsia="x-none"/>
        </w:rPr>
        <w:t>розпорядження начальника</w:t>
      </w:r>
    </w:p>
    <w:p w:rsidR="00FF3EA3" w:rsidRPr="00FF3EA3" w:rsidRDefault="00414FC1" w:rsidP="00414FC1">
      <w:pPr>
        <w:keepNext/>
        <w:autoSpaceDE w:val="0"/>
        <w:autoSpaceDN w:val="0"/>
        <w:ind w:left="5670" w:right="-142" w:firstLine="6"/>
        <w:outlineLvl w:val="2"/>
        <w:rPr>
          <w:rFonts w:eastAsia="Times New Roman"/>
          <w:bCs/>
          <w:sz w:val="28"/>
          <w:szCs w:val="28"/>
          <w:lang w:eastAsia="x-none"/>
        </w:rPr>
      </w:pPr>
      <w:r>
        <w:rPr>
          <w:rFonts w:eastAsia="Times New Roman"/>
          <w:bCs/>
          <w:sz w:val="28"/>
          <w:szCs w:val="28"/>
          <w:lang w:eastAsia="x-none"/>
        </w:rPr>
        <w:t xml:space="preserve">обласної військової </w:t>
      </w:r>
      <w:r w:rsidR="00FF3EA3" w:rsidRPr="00FF3EA3">
        <w:rPr>
          <w:rFonts w:eastAsia="Times New Roman"/>
          <w:bCs/>
          <w:sz w:val="28"/>
          <w:szCs w:val="28"/>
          <w:lang w:eastAsia="x-none"/>
        </w:rPr>
        <w:t xml:space="preserve">адміністрації </w:t>
      </w:r>
    </w:p>
    <w:p w:rsidR="00FF3EA3" w:rsidRPr="00FF3EA3" w:rsidRDefault="00414FC1" w:rsidP="00414FC1">
      <w:pPr>
        <w:keepNext/>
        <w:autoSpaceDE w:val="0"/>
        <w:autoSpaceDN w:val="0"/>
        <w:ind w:left="5670" w:right="-142"/>
        <w:outlineLvl w:val="2"/>
        <w:rPr>
          <w:rFonts w:eastAsia="Times New Roman"/>
          <w:bCs/>
          <w:sz w:val="28"/>
          <w:szCs w:val="28"/>
          <w:lang w:eastAsia="x-none"/>
        </w:rPr>
      </w:pPr>
      <w:r>
        <w:rPr>
          <w:rFonts w:eastAsia="Times New Roman"/>
          <w:bCs/>
          <w:sz w:val="28"/>
          <w:szCs w:val="28"/>
          <w:lang w:eastAsia="x-none"/>
        </w:rPr>
        <w:t>від ________ №__________</w:t>
      </w:r>
    </w:p>
    <w:p w:rsidR="0051141D" w:rsidRDefault="00FF3EA3" w:rsidP="00414FC1">
      <w:pPr>
        <w:keepNext/>
        <w:autoSpaceDE w:val="0"/>
        <w:autoSpaceDN w:val="0"/>
        <w:ind w:left="5670" w:right="-142" w:firstLine="5670"/>
        <w:outlineLvl w:val="2"/>
        <w:rPr>
          <w:rFonts w:eastAsia="Times New Roman"/>
          <w:b/>
          <w:bCs/>
          <w:sz w:val="28"/>
          <w:szCs w:val="28"/>
          <w:lang w:eastAsia="x-none"/>
        </w:rPr>
      </w:pPr>
      <w:r w:rsidRPr="00FF3EA3">
        <w:rPr>
          <w:rFonts w:eastAsia="Times New Roman"/>
          <w:bCs/>
          <w:sz w:val="28"/>
          <w:szCs w:val="28"/>
          <w:lang w:eastAsia="x-none"/>
        </w:rPr>
        <w:t xml:space="preserve">№ </w:t>
      </w:r>
    </w:p>
    <w:p w:rsidR="0051141D" w:rsidRDefault="00372C7D" w:rsidP="00372C7D">
      <w:pPr>
        <w:keepNext/>
        <w:autoSpaceDE w:val="0"/>
        <w:autoSpaceDN w:val="0"/>
        <w:ind w:left="5670" w:right="-142" w:firstLine="6"/>
        <w:outlineLvl w:val="2"/>
        <w:rPr>
          <w:rFonts w:eastAsia="Times New Roman"/>
          <w:bCs/>
          <w:sz w:val="28"/>
          <w:szCs w:val="28"/>
          <w:lang w:eastAsia="x-none"/>
        </w:rPr>
      </w:pPr>
      <w:r w:rsidRPr="00372C7D">
        <w:rPr>
          <w:rFonts w:eastAsia="Times New Roman"/>
          <w:bCs/>
          <w:sz w:val="28"/>
          <w:szCs w:val="28"/>
          <w:lang w:eastAsia="x-none"/>
        </w:rPr>
        <w:t xml:space="preserve">(додаток </w:t>
      </w:r>
      <w:r>
        <w:rPr>
          <w:rFonts w:eastAsia="Times New Roman"/>
          <w:bCs/>
          <w:sz w:val="28"/>
          <w:szCs w:val="28"/>
          <w:lang w:eastAsia="x-none"/>
        </w:rPr>
        <w:t>1</w:t>
      </w:r>
      <w:r w:rsidRPr="00372C7D">
        <w:rPr>
          <w:rFonts w:eastAsia="Times New Roman"/>
          <w:bCs/>
          <w:sz w:val="28"/>
          <w:szCs w:val="28"/>
          <w:lang w:eastAsia="x-none"/>
        </w:rPr>
        <w:t xml:space="preserve"> до Програми)</w:t>
      </w:r>
    </w:p>
    <w:p w:rsidR="00372C7D" w:rsidRPr="00372C7D" w:rsidRDefault="00372C7D" w:rsidP="00372C7D">
      <w:pPr>
        <w:keepNext/>
        <w:autoSpaceDE w:val="0"/>
        <w:autoSpaceDN w:val="0"/>
        <w:ind w:left="5670" w:right="-142" w:firstLine="6"/>
        <w:outlineLvl w:val="2"/>
        <w:rPr>
          <w:rFonts w:eastAsia="Times New Roman"/>
          <w:bCs/>
          <w:sz w:val="28"/>
          <w:szCs w:val="28"/>
          <w:lang w:eastAsia="x-none"/>
        </w:rPr>
      </w:pPr>
    </w:p>
    <w:p w:rsidR="00BB274C" w:rsidRPr="00517F66" w:rsidRDefault="00BB274C" w:rsidP="00BB274C">
      <w:pPr>
        <w:keepNext/>
        <w:autoSpaceDE w:val="0"/>
        <w:autoSpaceDN w:val="0"/>
        <w:jc w:val="center"/>
        <w:outlineLvl w:val="2"/>
        <w:rPr>
          <w:rFonts w:eastAsia="Times New Roman"/>
          <w:b/>
          <w:bCs/>
          <w:sz w:val="28"/>
          <w:szCs w:val="28"/>
          <w:lang w:eastAsia="x-none"/>
        </w:rPr>
      </w:pPr>
      <w:r w:rsidRPr="00517F66">
        <w:rPr>
          <w:rFonts w:eastAsia="Times New Roman"/>
          <w:b/>
          <w:bCs/>
          <w:sz w:val="28"/>
          <w:szCs w:val="28"/>
          <w:lang w:eastAsia="x-none"/>
        </w:rPr>
        <w:t>1. ПАСПОРТ</w:t>
      </w:r>
    </w:p>
    <w:p w:rsidR="00BB274C" w:rsidRDefault="00BB274C" w:rsidP="00BB274C">
      <w:pPr>
        <w:keepNext/>
        <w:autoSpaceDE w:val="0"/>
        <w:autoSpaceDN w:val="0"/>
        <w:ind w:firstLine="709"/>
        <w:jc w:val="center"/>
        <w:outlineLvl w:val="2"/>
        <w:rPr>
          <w:rFonts w:eastAsia="Times New Roman"/>
          <w:b/>
          <w:bCs/>
          <w:sz w:val="28"/>
          <w:szCs w:val="28"/>
          <w:lang w:eastAsia="x-none"/>
        </w:rPr>
      </w:pPr>
      <w:r>
        <w:rPr>
          <w:rFonts w:eastAsia="Times New Roman"/>
          <w:b/>
          <w:bCs/>
          <w:sz w:val="28"/>
          <w:szCs w:val="28"/>
          <w:lang w:eastAsia="x-none"/>
        </w:rPr>
        <w:t>Комплексної програми «Безпечна Львівщина» на 2021-2025 роки</w:t>
      </w:r>
    </w:p>
    <w:p w:rsidR="00BB274C" w:rsidRDefault="00BB274C" w:rsidP="00BB274C">
      <w:pPr>
        <w:keepNext/>
        <w:autoSpaceDE w:val="0"/>
        <w:autoSpaceDN w:val="0"/>
        <w:ind w:firstLine="709"/>
        <w:jc w:val="center"/>
        <w:outlineLvl w:val="2"/>
        <w:rPr>
          <w:rFonts w:eastAsia="Times New Roman"/>
          <w:b/>
          <w:bCs/>
          <w:sz w:val="28"/>
          <w:szCs w:val="28"/>
          <w:lang w:eastAsia="x-none"/>
        </w:rPr>
      </w:pPr>
      <w:r>
        <w:rPr>
          <w:rFonts w:eastAsia="Times New Roman"/>
          <w:b/>
          <w:bCs/>
          <w:sz w:val="28"/>
          <w:szCs w:val="28"/>
          <w:lang w:eastAsia="x-none"/>
        </w:rPr>
        <w:t>(далі – Програма)</w:t>
      </w:r>
    </w:p>
    <w:p w:rsidR="000A4513" w:rsidRDefault="000A4513" w:rsidP="00BB274C">
      <w:pPr>
        <w:keepNext/>
        <w:autoSpaceDE w:val="0"/>
        <w:autoSpaceDN w:val="0"/>
        <w:ind w:firstLine="709"/>
        <w:jc w:val="center"/>
        <w:outlineLvl w:val="2"/>
        <w:rPr>
          <w:rFonts w:eastAsia="Times New Roman"/>
          <w:b/>
          <w:bCs/>
          <w:sz w:val="28"/>
          <w:szCs w:val="28"/>
          <w:lang w:eastAsia="x-none"/>
        </w:rPr>
      </w:pPr>
    </w:p>
    <w:p w:rsidR="00BB274C" w:rsidRPr="00517F66" w:rsidRDefault="00BB274C" w:rsidP="00BB274C">
      <w:pPr>
        <w:keepNext/>
        <w:autoSpaceDE w:val="0"/>
        <w:autoSpaceDN w:val="0"/>
        <w:ind w:firstLine="709"/>
        <w:jc w:val="both"/>
        <w:outlineLvl w:val="2"/>
        <w:rPr>
          <w:bCs/>
          <w:sz w:val="28"/>
          <w:szCs w:val="28"/>
          <w:lang w:eastAsia="x-none"/>
        </w:rPr>
      </w:pPr>
      <w:r w:rsidRPr="00517F66">
        <w:rPr>
          <w:bCs/>
          <w:sz w:val="28"/>
          <w:szCs w:val="28"/>
          <w:lang w:eastAsia="x-none"/>
        </w:rPr>
        <w:t>1. Ініціатор розроблення Програми –</w:t>
      </w:r>
      <w:r w:rsidR="003F36E6">
        <w:rPr>
          <w:bCs/>
          <w:sz w:val="28"/>
          <w:szCs w:val="28"/>
          <w:lang w:eastAsia="x-none"/>
        </w:rPr>
        <w:t xml:space="preserve"> </w:t>
      </w:r>
      <w:r w:rsidRPr="00517F66">
        <w:rPr>
          <w:iCs/>
          <w:sz w:val="28"/>
          <w:szCs w:val="28"/>
          <w:lang w:eastAsia="x-none"/>
        </w:rPr>
        <w:t>Львівськ</w:t>
      </w:r>
      <w:r w:rsidR="003F36E6">
        <w:rPr>
          <w:iCs/>
          <w:sz w:val="28"/>
          <w:szCs w:val="28"/>
          <w:lang w:eastAsia="x-none"/>
        </w:rPr>
        <w:t>а</w:t>
      </w:r>
      <w:r w:rsidRPr="00517F66">
        <w:rPr>
          <w:iCs/>
          <w:sz w:val="28"/>
          <w:szCs w:val="28"/>
          <w:lang w:eastAsia="x-none"/>
        </w:rPr>
        <w:t xml:space="preserve"> обласн</w:t>
      </w:r>
      <w:r w:rsidR="003F36E6">
        <w:rPr>
          <w:iCs/>
          <w:sz w:val="28"/>
          <w:szCs w:val="28"/>
          <w:lang w:eastAsia="x-none"/>
        </w:rPr>
        <w:t>а</w:t>
      </w:r>
      <w:r w:rsidRPr="00517F66">
        <w:rPr>
          <w:iCs/>
          <w:sz w:val="28"/>
          <w:szCs w:val="28"/>
          <w:lang w:eastAsia="x-none"/>
        </w:rPr>
        <w:t xml:space="preserve"> державн</w:t>
      </w:r>
      <w:r w:rsidR="003F36E6">
        <w:rPr>
          <w:iCs/>
          <w:sz w:val="28"/>
          <w:szCs w:val="28"/>
          <w:lang w:eastAsia="x-none"/>
        </w:rPr>
        <w:t>а адміністрація</w:t>
      </w:r>
      <w:r w:rsidRPr="00517F66">
        <w:rPr>
          <w:iCs/>
          <w:sz w:val="28"/>
          <w:szCs w:val="28"/>
          <w:lang w:eastAsia="x-none"/>
        </w:rPr>
        <w:t>.</w:t>
      </w:r>
    </w:p>
    <w:p w:rsidR="00BB274C" w:rsidRPr="00517F66" w:rsidRDefault="00BB274C" w:rsidP="00BB274C">
      <w:pPr>
        <w:keepNext/>
        <w:autoSpaceDE w:val="0"/>
        <w:autoSpaceDN w:val="0"/>
        <w:ind w:firstLine="709"/>
        <w:jc w:val="both"/>
        <w:outlineLvl w:val="2"/>
        <w:rPr>
          <w:bCs/>
          <w:sz w:val="28"/>
          <w:szCs w:val="28"/>
          <w:lang w:eastAsia="x-none"/>
        </w:rPr>
      </w:pPr>
      <w:r w:rsidRPr="00517F66">
        <w:rPr>
          <w:bCs/>
          <w:sz w:val="28"/>
          <w:szCs w:val="28"/>
          <w:lang w:eastAsia="x-none"/>
        </w:rPr>
        <w:t xml:space="preserve">2. </w:t>
      </w:r>
      <w:r w:rsidRPr="00517F66">
        <w:rPr>
          <w:bCs/>
          <w:sz w:val="28"/>
          <w:szCs w:val="28"/>
        </w:rPr>
        <w:t xml:space="preserve">Дата, номер документа про затвердження Програми </w:t>
      </w:r>
      <w:r w:rsidRPr="00517F66">
        <w:rPr>
          <w:b/>
          <w:bCs/>
          <w:sz w:val="28"/>
          <w:szCs w:val="28"/>
        </w:rPr>
        <w:t>–</w:t>
      </w:r>
      <w:r w:rsidRPr="00517F66">
        <w:rPr>
          <w:bCs/>
          <w:sz w:val="28"/>
          <w:szCs w:val="28"/>
        </w:rPr>
        <w:t xml:space="preserve"> </w:t>
      </w:r>
      <w:r w:rsidRPr="00517F66">
        <w:rPr>
          <w:bCs/>
          <w:sz w:val="28"/>
          <w:szCs w:val="28"/>
          <w:lang w:eastAsia="x-none"/>
        </w:rPr>
        <w:t>рішенн</w:t>
      </w:r>
      <w:r>
        <w:rPr>
          <w:bCs/>
          <w:sz w:val="28"/>
          <w:szCs w:val="28"/>
          <w:lang w:eastAsia="x-none"/>
        </w:rPr>
        <w:t>я Львівської обласної ради від 16 березня</w:t>
      </w:r>
      <w:r w:rsidRPr="00517F66">
        <w:rPr>
          <w:bCs/>
          <w:sz w:val="28"/>
          <w:szCs w:val="28"/>
          <w:lang w:eastAsia="x-none"/>
        </w:rPr>
        <w:t xml:space="preserve"> 2021 року № </w:t>
      </w:r>
      <w:r>
        <w:rPr>
          <w:bCs/>
          <w:sz w:val="28"/>
          <w:szCs w:val="28"/>
          <w:lang w:eastAsia="x-none"/>
        </w:rPr>
        <w:t>84</w:t>
      </w:r>
      <w:r w:rsidRPr="00517F66">
        <w:rPr>
          <w:bCs/>
          <w:sz w:val="28"/>
          <w:szCs w:val="28"/>
          <w:lang w:eastAsia="x-none"/>
        </w:rPr>
        <w:t>.</w:t>
      </w:r>
    </w:p>
    <w:p w:rsidR="00BB274C" w:rsidRPr="00517F66" w:rsidRDefault="00BB274C" w:rsidP="00BB274C">
      <w:pPr>
        <w:keepNext/>
        <w:autoSpaceDE w:val="0"/>
        <w:autoSpaceDN w:val="0"/>
        <w:ind w:firstLine="709"/>
        <w:jc w:val="both"/>
        <w:outlineLvl w:val="2"/>
        <w:rPr>
          <w:bCs/>
          <w:iCs/>
          <w:sz w:val="28"/>
          <w:szCs w:val="28"/>
          <w:lang w:eastAsia="x-none"/>
        </w:rPr>
      </w:pPr>
      <w:r w:rsidRPr="00517F66">
        <w:rPr>
          <w:bCs/>
          <w:sz w:val="28"/>
          <w:szCs w:val="28"/>
          <w:lang w:eastAsia="x-none"/>
        </w:rPr>
        <w:t xml:space="preserve">3-4. </w:t>
      </w:r>
      <w:r w:rsidRPr="00517F66">
        <w:rPr>
          <w:bCs/>
          <w:iCs/>
          <w:sz w:val="28"/>
          <w:szCs w:val="28"/>
          <w:lang w:eastAsia="x-none"/>
        </w:rPr>
        <w:t>Розробник Програми та головний розпорядник коштів за Програмою – департамент з питань цивільного захисту Львівської обласної державної адміністрації.</w:t>
      </w:r>
    </w:p>
    <w:p w:rsidR="00BB274C" w:rsidRDefault="00BB274C" w:rsidP="00BB274C">
      <w:pPr>
        <w:keepNext/>
        <w:autoSpaceDE w:val="0"/>
        <w:autoSpaceDN w:val="0"/>
        <w:ind w:firstLine="709"/>
        <w:jc w:val="both"/>
        <w:outlineLvl w:val="2"/>
        <w:rPr>
          <w:sz w:val="28"/>
          <w:szCs w:val="28"/>
        </w:rPr>
      </w:pPr>
      <w:r w:rsidRPr="00517F66">
        <w:rPr>
          <w:sz w:val="28"/>
          <w:szCs w:val="28"/>
        </w:rPr>
        <w:t>5. Відповідальні виконавці Програми та отримувачі коштів – департамент з питань цивільного захисту Львівської обласної державної адміністрації, Головне управління ДСНС України у Львівській області, 2</w:t>
      </w:r>
      <w:r>
        <w:rPr>
          <w:sz w:val="28"/>
          <w:szCs w:val="28"/>
        </w:rPr>
        <w:t xml:space="preserve"> </w:t>
      </w:r>
      <w:r w:rsidRPr="00517F66">
        <w:rPr>
          <w:sz w:val="28"/>
          <w:szCs w:val="28"/>
        </w:rPr>
        <w:t xml:space="preserve">Спеціальний центр швидкого реагування ДСНС України, Центральна рятувально-водолазна служба у Львівській області, територіальні громади Львівської області, </w:t>
      </w:r>
      <w:r>
        <w:rPr>
          <w:sz w:val="28"/>
          <w:szCs w:val="28"/>
        </w:rPr>
        <w:t>в</w:t>
      </w:r>
      <w:r w:rsidRPr="00BB34A8">
        <w:rPr>
          <w:sz w:val="28"/>
          <w:szCs w:val="28"/>
        </w:rPr>
        <w:t>ійськові частини А2196, А0363, А2122, А2678, А0780, А2556, А4324, А2166, А2602, А1524, А4623, А0284, А1277, А0583, А2736, А1666, А3358, А2299, А0223, А4520, А1124, А1587, А0510, А1145</w:t>
      </w:r>
      <w:r>
        <w:rPr>
          <w:sz w:val="28"/>
          <w:szCs w:val="28"/>
        </w:rPr>
        <w:t>-Л</w:t>
      </w:r>
      <w:r w:rsidRPr="00BB34A8">
        <w:rPr>
          <w:sz w:val="28"/>
          <w:szCs w:val="28"/>
        </w:rPr>
        <w:t xml:space="preserve">, К1412, А2719, А2847, А2943, А3817, А0807, А2595, А0508, А3913, А1108, А0998, А2562, А2615, </w:t>
      </w:r>
      <w:r>
        <w:rPr>
          <w:sz w:val="28"/>
          <w:szCs w:val="28"/>
        </w:rPr>
        <w:t xml:space="preserve">А3211, </w:t>
      </w:r>
      <w:r w:rsidRPr="00BB34A8">
        <w:rPr>
          <w:sz w:val="28"/>
          <w:szCs w:val="28"/>
        </w:rPr>
        <w:t xml:space="preserve">А4150, А4623, А4623/Б, А2847, А3420, А3394, А1463, А1859, А1822, А2678, </w:t>
      </w:r>
      <w:r w:rsidR="004B7B00">
        <w:rPr>
          <w:sz w:val="28"/>
          <w:szCs w:val="28"/>
        </w:rPr>
        <w:t xml:space="preserve">А7031, А7381, </w:t>
      </w:r>
      <w:r w:rsidRPr="00BB34A8">
        <w:rPr>
          <w:sz w:val="28"/>
          <w:szCs w:val="28"/>
        </w:rPr>
        <w:t xml:space="preserve">Т0200, Т0410, Т0110, Львівський обласний територіальний центр комплектування та соціальної підтримки, Національна академія сухопутних військ імені гетьмана Петра Сагайдачного, Військовий коледж сержантського складу Національної академії сухопутних військ імені гетьмана Петра Сагайдачного, </w:t>
      </w:r>
      <w:r w:rsidRPr="007E3BE5">
        <w:rPr>
          <w:sz w:val="28"/>
          <w:szCs w:val="28"/>
        </w:rPr>
        <w:t>11 комендатура охорони та обслуговування військової частини А0780,</w:t>
      </w:r>
      <w:r w:rsidRPr="00BB34A8">
        <w:rPr>
          <w:sz w:val="28"/>
          <w:szCs w:val="28"/>
        </w:rPr>
        <w:t xml:space="preserve"> 1240 Центр забезпечення реалізації договорів про скорочення озброєнь, Західне територіальне управління внутрішнього аудиту, Військово-медичний клінічний центр Західного регіону, 16 регіональна військово-лікарська комісія, 58 будинок офіцерів, Відділення спеціальних кореспондентів Міністерства оборони України (м.</w:t>
      </w:r>
      <w:r>
        <w:rPr>
          <w:sz w:val="28"/>
          <w:szCs w:val="28"/>
        </w:rPr>
        <w:t xml:space="preserve"> </w:t>
      </w:r>
      <w:r w:rsidRPr="00BB34A8">
        <w:rPr>
          <w:sz w:val="28"/>
          <w:szCs w:val="28"/>
        </w:rPr>
        <w:t>Львів), 4762 Головне військове представництво замовника Міністерства оборони України,</w:t>
      </w:r>
      <w:r>
        <w:rPr>
          <w:sz w:val="28"/>
          <w:szCs w:val="28"/>
        </w:rPr>
        <w:t xml:space="preserve"> Навчально-спортивна база літніх</w:t>
      </w:r>
      <w:r w:rsidRPr="00BB34A8">
        <w:rPr>
          <w:sz w:val="28"/>
          <w:szCs w:val="28"/>
        </w:rPr>
        <w:t xml:space="preserve"> видів спорту, Західний територіальний відділ пожежної безпеки, Управління військових сполучень на Львівській залізниці, Комендатура військових сполучень залізничної дільниці, станції та аеропорту Львів, Західний територіальний юридичний відділ Міністерства оборони України, Західний територіальний відділ з питань запобігання та виявлення корупції, Львівський територіальний архівний відділ галузевого державного архіву Міністерства оборони України, Спеціалізована прокуратура у військовій та оборонній сфері Західного регіону, Військова прокуратура Львівського гарнізону, </w:t>
      </w:r>
      <w:proofErr w:type="spellStart"/>
      <w:r w:rsidRPr="00BB34A8">
        <w:rPr>
          <w:sz w:val="28"/>
          <w:szCs w:val="28"/>
        </w:rPr>
        <w:t>Квартирно</w:t>
      </w:r>
      <w:proofErr w:type="spellEnd"/>
      <w:r w:rsidRPr="00BB34A8">
        <w:rPr>
          <w:sz w:val="28"/>
          <w:szCs w:val="28"/>
        </w:rPr>
        <w:t xml:space="preserve">-експлуатаційний </w:t>
      </w:r>
      <w:r w:rsidRPr="00BB34A8">
        <w:rPr>
          <w:sz w:val="28"/>
          <w:szCs w:val="28"/>
        </w:rPr>
        <w:lastRenderedPageBreak/>
        <w:t>відділ міста Львова, Центр медичної реабілітації та санаторно-курортного лікування «Трускавецький», Навчально-спортивна база зимових видів спорту «Тисовець» Міністерства оборони України, Західний відділ державного технічного нагляду управління Державного технічного нагляду Збройних сил України</w:t>
      </w:r>
      <w:r w:rsidRPr="00B11C6F">
        <w:rPr>
          <w:sz w:val="28"/>
          <w:szCs w:val="28"/>
        </w:rPr>
        <w:t xml:space="preserve">; військові частини 1468, 1487, 1565, 2144, 2418, 2522, 9507 Державної прикордонної служби України; Західне територіальне управління Національної гвардії України, військові частини 3002, 3007, 3080, 4114 Національної гвардії України; Управління Служби безпеки України у Львівській області; Управління протидії кіберзлочинам у Львівській області Департаменту </w:t>
      </w:r>
      <w:proofErr w:type="spellStart"/>
      <w:r w:rsidRPr="00B11C6F">
        <w:rPr>
          <w:sz w:val="28"/>
          <w:szCs w:val="28"/>
        </w:rPr>
        <w:t>кібе</w:t>
      </w:r>
      <w:r>
        <w:rPr>
          <w:sz w:val="28"/>
          <w:szCs w:val="28"/>
        </w:rPr>
        <w:t>рполіції</w:t>
      </w:r>
      <w:proofErr w:type="spellEnd"/>
      <w:r>
        <w:rPr>
          <w:sz w:val="28"/>
          <w:szCs w:val="28"/>
        </w:rPr>
        <w:t xml:space="preserve">; Управління </w:t>
      </w:r>
      <w:proofErr w:type="spellStart"/>
      <w:r>
        <w:rPr>
          <w:sz w:val="28"/>
          <w:szCs w:val="28"/>
        </w:rPr>
        <w:t>Держспецзв’язку</w:t>
      </w:r>
      <w:proofErr w:type="spellEnd"/>
      <w:r>
        <w:rPr>
          <w:sz w:val="28"/>
          <w:szCs w:val="28"/>
        </w:rPr>
        <w:t xml:space="preserve"> </w:t>
      </w:r>
      <w:r w:rsidRPr="00B11C6F">
        <w:rPr>
          <w:sz w:val="28"/>
          <w:szCs w:val="28"/>
        </w:rPr>
        <w:t>у Львівській області; Головне управління Національної поліції у Львівській області; Управління патрульної поліції у Львівській області Департаменту патрульної поліції; Львівський науково-дослідний експертно-криміналістичний центр МВС України; Західне міжрегіональне управління з питань виконання кримінальних покара</w:t>
      </w:r>
      <w:r>
        <w:rPr>
          <w:sz w:val="28"/>
          <w:szCs w:val="28"/>
        </w:rPr>
        <w:t>нь Міністерства юстиції України;</w:t>
      </w:r>
      <w:r w:rsidRPr="00B11C6F">
        <w:rPr>
          <w:sz w:val="28"/>
          <w:szCs w:val="28"/>
        </w:rPr>
        <w:t xml:space="preserve"> Львівський науково-дослідний інститут судових експерт</w:t>
      </w:r>
      <w:r>
        <w:rPr>
          <w:sz w:val="28"/>
          <w:szCs w:val="28"/>
        </w:rPr>
        <w:t>из Міністерства юстиції України;</w:t>
      </w:r>
      <w:r w:rsidRPr="00B11C6F">
        <w:rPr>
          <w:sz w:val="28"/>
          <w:szCs w:val="28"/>
        </w:rPr>
        <w:t xml:space="preserve"> Філія Державної установи «Центр </w:t>
      </w:r>
      <w:proofErr w:type="spellStart"/>
      <w:r w:rsidRPr="00B11C6F">
        <w:rPr>
          <w:sz w:val="28"/>
          <w:szCs w:val="28"/>
        </w:rPr>
        <w:t>пробації</w:t>
      </w:r>
      <w:proofErr w:type="spellEnd"/>
      <w:r w:rsidRPr="00B11C6F">
        <w:rPr>
          <w:sz w:val="28"/>
          <w:szCs w:val="28"/>
        </w:rPr>
        <w:t>» у Львівській області; прокуратура Львівської області; Державна установа «Територіальне медичне об’єднання Міністерства внутрішніх справ України по Льві</w:t>
      </w:r>
      <w:r>
        <w:rPr>
          <w:sz w:val="28"/>
          <w:szCs w:val="28"/>
        </w:rPr>
        <w:t>вській області»;</w:t>
      </w:r>
      <w:r w:rsidRPr="00B11C6F">
        <w:rPr>
          <w:sz w:val="28"/>
          <w:szCs w:val="28"/>
        </w:rPr>
        <w:t xml:space="preserve"> Територіальне управління Служби судової охорони у Львівській області</w:t>
      </w:r>
      <w:r>
        <w:rPr>
          <w:sz w:val="28"/>
          <w:szCs w:val="28"/>
        </w:rPr>
        <w:t xml:space="preserve">; Львівський державний університет безпеки життєдіяльності ДСНС України; </w:t>
      </w:r>
      <w:r w:rsidRPr="00C054B5">
        <w:rPr>
          <w:sz w:val="28"/>
          <w:szCs w:val="28"/>
        </w:rPr>
        <w:t>комунальне підприємство Львівської обласної ради «Охорона та захист Львівщини»</w:t>
      </w:r>
      <w:r w:rsidR="00CA5874">
        <w:rPr>
          <w:sz w:val="28"/>
          <w:szCs w:val="28"/>
        </w:rPr>
        <w:t>, Львівський апеляційний суд</w:t>
      </w:r>
      <w:r w:rsidR="00EF1600">
        <w:rPr>
          <w:sz w:val="28"/>
          <w:szCs w:val="28"/>
        </w:rPr>
        <w:t>, Львівськ</w:t>
      </w:r>
      <w:r w:rsidR="006A6643">
        <w:rPr>
          <w:sz w:val="28"/>
          <w:szCs w:val="28"/>
        </w:rPr>
        <w:t>ий</w:t>
      </w:r>
      <w:r w:rsidR="00EF1600">
        <w:rPr>
          <w:sz w:val="28"/>
          <w:szCs w:val="28"/>
        </w:rPr>
        <w:t xml:space="preserve"> </w:t>
      </w:r>
      <w:r w:rsidR="006A6643">
        <w:rPr>
          <w:sz w:val="28"/>
          <w:szCs w:val="28"/>
        </w:rPr>
        <w:t>державний університет внутрішніх справ</w:t>
      </w:r>
      <w:r w:rsidRPr="00B11C6F">
        <w:rPr>
          <w:sz w:val="28"/>
          <w:szCs w:val="28"/>
        </w:rPr>
        <w:t>.</w:t>
      </w:r>
    </w:p>
    <w:p w:rsidR="006A6643" w:rsidRDefault="00BB274C" w:rsidP="00BB274C">
      <w:pPr>
        <w:keepNext/>
        <w:autoSpaceDE w:val="0"/>
        <w:autoSpaceDN w:val="0"/>
        <w:ind w:firstLine="709"/>
        <w:jc w:val="both"/>
        <w:outlineLvl w:val="2"/>
        <w:rPr>
          <w:sz w:val="28"/>
          <w:szCs w:val="28"/>
        </w:rPr>
      </w:pPr>
      <w:r w:rsidRPr="00517F66">
        <w:rPr>
          <w:sz w:val="28"/>
          <w:szCs w:val="28"/>
        </w:rPr>
        <w:t xml:space="preserve">6. Учасники Програми – департамент з питань цивільного захисту Львівської обласної державної адміністрації, Головне управління ДСНС України у Львівській області, 2 Спеціальний центр швидкого реагування ДСНС України, Центральна рятувально-водолазна служба у Львівській області, територіальні громади Львівської області, </w:t>
      </w:r>
      <w:r>
        <w:rPr>
          <w:sz w:val="28"/>
          <w:szCs w:val="28"/>
        </w:rPr>
        <w:t>в</w:t>
      </w:r>
      <w:r w:rsidRPr="00BB34A8">
        <w:rPr>
          <w:sz w:val="28"/>
          <w:szCs w:val="28"/>
        </w:rPr>
        <w:t>ійськові частини А2196, А0363, А2122, А2678, А0780, А2556, А4324, А2166, А2602, А1524, А4623, А0284, А1277, А0583, А2736, А1666, А3358, А2299, А0223, А4520, А1124, А1587, А0510, А1145</w:t>
      </w:r>
      <w:r>
        <w:rPr>
          <w:sz w:val="28"/>
          <w:szCs w:val="28"/>
        </w:rPr>
        <w:t>-Л</w:t>
      </w:r>
      <w:r w:rsidRPr="00BB34A8">
        <w:rPr>
          <w:sz w:val="28"/>
          <w:szCs w:val="28"/>
        </w:rPr>
        <w:t xml:space="preserve">, К1412, А2719, А2847, А2943, А3817, А0807, А2595, А0508, А3913, А1108, А0998, А2562, А2615, </w:t>
      </w:r>
      <w:r>
        <w:rPr>
          <w:sz w:val="28"/>
          <w:szCs w:val="28"/>
        </w:rPr>
        <w:t xml:space="preserve">А3211, </w:t>
      </w:r>
      <w:r w:rsidRPr="00BB34A8">
        <w:rPr>
          <w:sz w:val="28"/>
          <w:szCs w:val="28"/>
        </w:rPr>
        <w:t xml:space="preserve">А4150, А4623, А4623/Б, А2847, А3420, А3394, А1463, А1859, А1822, А2678, </w:t>
      </w:r>
      <w:r w:rsidR="004B7B00" w:rsidRPr="004B7B00">
        <w:rPr>
          <w:sz w:val="28"/>
          <w:szCs w:val="28"/>
        </w:rPr>
        <w:t>А7031, А7381,</w:t>
      </w:r>
      <w:r w:rsidR="004B7B00">
        <w:rPr>
          <w:sz w:val="28"/>
          <w:szCs w:val="28"/>
        </w:rPr>
        <w:t xml:space="preserve"> </w:t>
      </w:r>
      <w:r w:rsidRPr="00BB34A8">
        <w:rPr>
          <w:sz w:val="28"/>
          <w:szCs w:val="28"/>
        </w:rPr>
        <w:t xml:space="preserve">Т0200, Т0410, Т0110, Львівський обласний територіальний центр комплектування та соціальної підтримки, Національна академія сухопутних військ імені гетьмана Петра Сагайдачного, Військовий коледж сержантського складу Національної академії сухопутних військ імені гетьмана Петра Сагайдачного, </w:t>
      </w:r>
      <w:r w:rsidRPr="007E3BE5">
        <w:rPr>
          <w:sz w:val="28"/>
          <w:szCs w:val="28"/>
        </w:rPr>
        <w:t>11 комендатура охорони та обслуговування військової частини А0780,</w:t>
      </w:r>
      <w:r>
        <w:rPr>
          <w:sz w:val="28"/>
          <w:szCs w:val="28"/>
        </w:rPr>
        <w:t xml:space="preserve"> </w:t>
      </w:r>
      <w:r w:rsidRPr="00BB34A8">
        <w:rPr>
          <w:sz w:val="28"/>
          <w:szCs w:val="28"/>
        </w:rPr>
        <w:t>1240 Центр забезпечення реалізації договорів про скорочення озброєнь, Західне територіальне управління внутрішнього аудиту, Військово-медичний клінічний центр Західного регіону, 16 регіональна військово-лікарська комісія, 58 будинок офіцерів, Відділення спеціальних кореспондентів Міністерства оборони України (м.</w:t>
      </w:r>
      <w:r>
        <w:rPr>
          <w:sz w:val="28"/>
          <w:szCs w:val="28"/>
        </w:rPr>
        <w:t xml:space="preserve"> </w:t>
      </w:r>
      <w:r w:rsidRPr="00BB34A8">
        <w:rPr>
          <w:sz w:val="28"/>
          <w:szCs w:val="28"/>
        </w:rPr>
        <w:t xml:space="preserve">Львів), 4762 Головне військове представництво замовника Міністерства оборони України, Навчально-спортивна база літній видів спорту, Західний територіальний відділ пожежної безпеки, Управління військових сполучень на Львівській залізниці, Комендатура військових сполучень залізничної дільниці, станції та аеропорту </w:t>
      </w:r>
      <w:r w:rsidRPr="00BB34A8">
        <w:rPr>
          <w:sz w:val="28"/>
          <w:szCs w:val="28"/>
        </w:rPr>
        <w:lastRenderedPageBreak/>
        <w:t xml:space="preserve">Львів, Західний територіальний юридичний відділ Міністерства оборони України, Західний територіальний відділ з питань запобігання та виявлення корупції, Львівський територіальний архівний відділ галузевого державного архіву Міністерства оборони України, Спеціалізована прокуратура у військовій та оборонній сфері Західного регіону, Військова прокуратура Львівського гарнізону, </w:t>
      </w:r>
      <w:proofErr w:type="spellStart"/>
      <w:r w:rsidRPr="00BB34A8">
        <w:rPr>
          <w:sz w:val="28"/>
          <w:szCs w:val="28"/>
        </w:rPr>
        <w:t>Квартирно</w:t>
      </w:r>
      <w:proofErr w:type="spellEnd"/>
      <w:r w:rsidRPr="00BB34A8">
        <w:rPr>
          <w:sz w:val="28"/>
          <w:szCs w:val="28"/>
        </w:rPr>
        <w:t>-експлуатаційний відділ міста Львова, Центр медичної реабілітації та санаторно-курортного лікування «Трускавецький», Навчально-спортивна база зимових видів спорту «Тисовець» Міністерства оборони України, Західний відділ державного технічного нагляду управління Державного технічного нагляду Збройних сил України</w:t>
      </w:r>
      <w:r>
        <w:rPr>
          <w:sz w:val="28"/>
          <w:szCs w:val="28"/>
        </w:rPr>
        <w:t>;</w:t>
      </w:r>
      <w:r w:rsidRPr="00CA796F">
        <w:t xml:space="preserve"> </w:t>
      </w:r>
      <w:r w:rsidRPr="00CA796F">
        <w:rPr>
          <w:sz w:val="28"/>
          <w:szCs w:val="28"/>
        </w:rPr>
        <w:t xml:space="preserve">військові частини 1468, 1487, 1565, 2144, 2418, 2522, 9507 Державної прикордонної служби України; Західне територіальне управління Національної гвардії України, військові частини 3002, 3007, 3080, 4114 Національної гвардії України; Управління Служби безпеки України у Львівській області; Управління протидії кіберзлочинам у Львівській області Департаменту </w:t>
      </w:r>
      <w:proofErr w:type="spellStart"/>
      <w:r w:rsidRPr="00CA796F">
        <w:rPr>
          <w:sz w:val="28"/>
          <w:szCs w:val="28"/>
        </w:rPr>
        <w:t>кібе</w:t>
      </w:r>
      <w:r>
        <w:rPr>
          <w:sz w:val="28"/>
          <w:szCs w:val="28"/>
        </w:rPr>
        <w:t>рполіції</w:t>
      </w:r>
      <w:proofErr w:type="spellEnd"/>
      <w:r>
        <w:rPr>
          <w:sz w:val="28"/>
          <w:szCs w:val="28"/>
        </w:rPr>
        <w:t xml:space="preserve">; Управління </w:t>
      </w:r>
      <w:proofErr w:type="spellStart"/>
      <w:r>
        <w:rPr>
          <w:sz w:val="28"/>
          <w:szCs w:val="28"/>
        </w:rPr>
        <w:t>Держспецзв’язку</w:t>
      </w:r>
      <w:proofErr w:type="spellEnd"/>
      <w:r>
        <w:rPr>
          <w:sz w:val="28"/>
          <w:szCs w:val="28"/>
        </w:rPr>
        <w:t xml:space="preserve"> </w:t>
      </w:r>
      <w:r w:rsidRPr="00CA796F">
        <w:rPr>
          <w:sz w:val="28"/>
          <w:szCs w:val="28"/>
        </w:rPr>
        <w:t>у Львівській області; Головне управління Національної поліції у Львівській області; Управління патрульної поліції у Львівській області Департаменту патрульної поліції; Львівський науково-дослідний експертно-криміналістичний центр МВС України; Західне міжрегіональне управління з питань виконання кримінальних покарань Міністерства юстиції України</w:t>
      </w:r>
      <w:r>
        <w:rPr>
          <w:sz w:val="28"/>
          <w:szCs w:val="28"/>
        </w:rPr>
        <w:t>;</w:t>
      </w:r>
      <w:r w:rsidRPr="00CA796F">
        <w:rPr>
          <w:sz w:val="28"/>
          <w:szCs w:val="28"/>
        </w:rPr>
        <w:t xml:space="preserve"> Львівський науково-дослідний інститут судових експерт</w:t>
      </w:r>
      <w:r>
        <w:rPr>
          <w:sz w:val="28"/>
          <w:szCs w:val="28"/>
        </w:rPr>
        <w:t>из Міністерства юстиції України;</w:t>
      </w:r>
      <w:r w:rsidRPr="00CA796F">
        <w:rPr>
          <w:sz w:val="28"/>
          <w:szCs w:val="28"/>
        </w:rPr>
        <w:t xml:space="preserve"> Філія Державної установи «Центр </w:t>
      </w:r>
      <w:proofErr w:type="spellStart"/>
      <w:r w:rsidRPr="00CA796F">
        <w:rPr>
          <w:sz w:val="28"/>
          <w:szCs w:val="28"/>
        </w:rPr>
        <w:t>пробації</w:t>
      </w:r>
      <w:proofErr w:type="spellEnd"/>
      <w:r w:rsidRPr="00CA796F">
        <w:rPr>
          <w:sz w:val="28"/>
          <w:szCs w:val="28"/>
        </w:rPr>
        <w:t>» у Львівській області; прокуратура Львівської області; Державна установа «Територіальне медичне об’єднання Міністерства внутрішніх справ</w:t>
      </w:r>
      <w:r>
        <w:rPr>
          <w:sz w:val="28"/>
          <w:szCs w:val="28"/>
        </w:rPr>
        <w:t xml:space="preserve"> України по Львівській області»;</w:t>
      </w:r>
      <w:r w:rsidRPr="00CA796F">
        <w:rPr>
          <w:sz w:val="28"/>
          <w:szCs w:val="28"/>
        </w:rPr>
        <w:t xml:space="preserve"> Територіальне управління Служби судової охорони у Львівській області</w:t>
      </w:r>
      <w:r>
        <w:rPr>
          <w:sz w:val="28"/>
          <w:szCs w:val="28"/>
        </w:rPr>
        <w:t>;</w:t>
      </w:r>
      <w:r w:rsidRPr="00CB4AF1">
        <w:rPr>
          <w:sz w:val="28"/>
          <w:szCs w:val="28"/>
        </w:rPr>
        <w:t xml:space="preserve"> Львівський державний університет безпеки життєдіяльності ДСНС України</w:t>
      </w:r>
      <w:r>
        <w:rPr>
          <w:sz w:val="28"/>
          <w:szCs w:val="28"/>
        </w:rPr>
        <w:t xml:space="preserve">; </w:t>
      </w:r>
      <w:r w:rsidRPr="00C054B5">
        <w:rPr>
          <w:sz w:val="28"/>
          <w:szCs w:val="28"/>
        </w:rPr>
        <w:t>комунальне підприємство Львівської обласної ради «Охорона та захист Львівщини»</w:t>
      </w:r>
      <w:r w:rsidR="00CA5874">
        <w:rPr>
          <w:sz w:val="28"/>
          <w:szCs w:val="28"/>
        </w:rPr>
        <w:t>, Львівський апеляційний суд</w:t>
      </w:r>
      <w:r w:rsidR="00EF1600">
        <w:rPr>
          <w:sz w:val="28"/>
          <w:szCs w:val="28"/>
        </w:rPr>
        <w:t xml:space="preserve">, </w:t>
      </w:r>
      <w:r w:rsidR="006A6643" w:rsidRPr="006A6643">
        <w:rPr>
          <w:sz w:val="28"/>
          <w:szCs w:val="28"/>
        </w:rPr>
        <w:t>Львівський державний університет внутрішніх справ.</w:t>
      </w:r>
    </w:p>
    <w:p w:rsidR="00BB274C" w:rsidRPr="00517F66" w:rsidRDefault="00BB274C" w:rsidP="00BB274C">
      <w:pPr>
        <w:keepNext/>
        <w:autoSpaceDE w:val="0"/>
        <w:autoSpaceDN w:val="0"/>
        <w:ind w:firstLine="709"/>
        <w:jc w:val="both"/>
        <w:outlineLvl w:val="2"/>
        <w:rPr>
          <w:bCs/>
          <w:sz w:val="28"/>
          <w:szCs w:val="28"/>
          <w:lang w:eastAsia="x-none"/>
        </w:rPr>
      </w:pPr>
      <w:r w:rsidRPr="00517F66">
        <w:rPr>
          <w:bCs/>
          <w:sz w:val="28"/>
          <w:szCs w:val="28"/>
          <w:lang w:eastAsia="x-none"/>
        </w:rPr>
        <w:t>7. Термін реалізації Програми – 2021-2025 роки.</w:t>
      </w:r>
    </w:p>
    <w:p w:rsidR="00BB274C" w:rsidRPr="00517F66" w:rsidRDefault="00BB274C" w:rsidP="00BB274C">
      <w:pPr>
        <w:keepNext/>
        <w:autoSpaceDE w:val="0"/>
        <w:autoSpaceDN w:val="0"/>
        <w:ind w:firstLine="709"/>
        <w:jc w:val="both"/>
        <w:outlineLvl w:val="2"/>
        <w:rPr>
          <w:sz w:val="28"/>
          <w:szCs w:val="28"/>
        </w:rPr>
      </w:pPr>
      <w:r w:rsidRPr="00517F66">
        <w:rPr>
          <w:sz w:val="28"/>
          <w:szCs w:val="28"/>
        </w:rPr>
        <w:t xml:space="preserve">8. Номер та назва завдань Стратегії розвитку Львівської області, яким відповідає Програма – завдання 2.4.2. «Техногенна безпека»  оперативної цілі    2.4. «Безпечне і </w:t>
      </w:r>
      <w:proofErr w:type="spellStart"/>
      <w:r w:rsidRPr="00517F66">
        <w:rPr>
          <w:sz w:val="28"/>
          <w:szCs w:val="28"/>
        </w:rPr>
        <w:t>безбар’єрне</w:t>
      </w:r>
      <w:proofErr w:type="spellEnd"/>
      <w:r w:rsidRPr="00517F66">
        <w:rPr>
          <w:sz w:val="28"/>
          <w:szCs w:val="28"/>
        </w:rPr>
        <w:t xml:space="preserve"> середовище».</w:t>
      </w:r>
    </w:p>
    <w:p w:rsidR="00BB274C" w:rsidRPr="00517F66" w:rsidRDefault="00BB274C" w:rsidP="00BB274C">
      <w:pPr>
        <w:keepNext/>
        <w:autoSpaceDE w:val="0"/>
        <w:autoSpaceDN w:val="0"/>
        <w:ind w:firstLine="709"/>
        <w:jc w:val="both"/>
        <w:outlineLvl w:val="2"/>
        <w:rPr>
          <w:sz w:val="28"/>
          <w:szCs w:val="28"/>
        </w:rPr>
      </w:pPr>
      <w:r w:rsidRPr="00517F66">
        <w:rPr>
          <w:sz w:val="28"/>
          <w:szCs w:val="28"/>
        </w:rPr>
        <w:t xml:space="preserve">9. Загальний обсяг фінансових ресурсів, необхідних для </w:t>
      </w:r>
      <w:r>
        <w:rPr>
          <w:sz w:val="28"/>
          <w:szCs w:val="28"/>
        </w:rPr>
        <w:t>реалізації Програми, тис. грн, у</w:t>
      </w:r>
      <w:r w:rsidRPr="00517F66">
        <w:rPr>
          <w:sz w:val="28"/>
          <w:szCs w:val="28"/>
        </w:rPr>
        <w:t xml:space="preserve">сього: </w:t>
      </w:r>
    </w:p>
    <w:p w:rsidR="00BB274C" w:rsidRDefault="00BB274C" w:rsidP="00BB274C">
      <w:pPr>
        <w:keepNext/>
        <w:autoSpaceDE w:val="0"/>
        <w:autoSpaceDN w:val="0"/>
        <w:ind w:firstLine="709"/>
        <w:jc w:val="both"/>
        <w:outlineLvl w:val="2"/>
        <w:rPr>
          <w:sz w:val="28"/>
          <w:szCs w:val="28"/>
        </w:rPr>
      </w:pPr>
      <w:r w:rsidRPr="00517F66">
        <w:rPr>
          <w:sz w:val="28"/>
          <w:szCs w:val="28"/>
        </w:rPr>
        <w:t xml:space="preserve">- на 2021 рік – </w:t>
      </w:r>
      <w:r w:rsidR="006A6643">
        <w:rPr>
          <w:sz w:val="28"/>
          <w:szCs w:val="28"/>
        </w:rPr>
        <w:t>61</w:t>
      </w:r>
      <w:r w:rsidRPr="00517F66">
        <w:rPr>
          <w:sz w:val="28"/>
          <w:szCs w:val="28"/>
        </w:rPr>
        <w:t xml:space="preserve"> </w:t>
      </w:r>
      <w:r w:rsidR="00EF1600">
        <w:rPr>
          <w:sz w:val="28"/>
          <w:szCs w:val="28"/>
        </w:rPr>
        <w:t>5</w:t>
      </w:r>
      <w:r w:rsidR="006A6643">
        <w:rPr>
          <w:sz w:val="28"/>
          <w:szCs w:val="28"/>
        </w:rPr>
        <w:t>5</w:t>
      </w:r>
      <w:r w:rsidR="00CF028E">
        <w:rPr>
          <w:sz w:val="28"/>
          <w:szCs w:val="28"/>
        </w:rPr>
        <w:t>0</w:t>
      </w:r>
      <w:r w:rsidRPr="00517F66">
        <w:rPr>
          <w:sz w:val="28"/>
          <w:szCs w:val="28"/>
        </w:rPr>
        <w:t>,</w:t>
      </w:r>
      <w:r w:rsidR="00CF028E">
        <w:rPr>
          <w:sz w:val="28"/>
          <w:szCs w:val="28"/>
        </w:rPr>
        <w:t>4</w:t>
      </w:r>
      <w:r w:rsidRPr="00517F66">
        <w:rPr>
          <w:sz w:val="28"/>
          <w:szCs w:val="28"/>
        </w:rPr>
        <w:t xml:space="preserve"> тис. грн, </w:t>
      </w:r>
    </w:p>
    <w:p w:rsidR="000A4513" w:rsidRPr="00C03784" w:rsidRDefault="000A4513" w:rsidP="00BB274C">
      <w:pPr>
        <w:keepNext/>
        <w:autoSpaceDE w:val="0"/>
        <w:autoSpaceDN w:val="0"/>
        <w:ind w:firstLine="709"/>
        <w:jc w:val="both"/>
        <w:outlineLvl w:val="2"/>
        <w:rPr>
          <w:sz w:val="28"/>
          <w:szCs w:val="28"/>
        </w:rPr>
      </w:pPr>
      <w:r w:rsidRPr="00C03784">
        <w:rPr>
          <w:sz w:val="28"/>
          <w:szCs w:val="28"/>
        </w:rPr>
        <w:t xml:space="preserve">- на 2022 рік – </w:t>
      </w:r>
      <w:r w:rsidR="004B7B00" w:rsidRPr="004B7B00">
        <w:rPr>
          <w:sz w:val="28"/>
          <w:szCs w:val="28"/>
        </w:rPr>
        <w:t>41</w:t>
      </w:r>
      <w:r w:rsidRPr="004B7B00">
        <w:rPr>
          <w:sz w:val="28"/>
          <w:szCs w:val="28"/>
        </w:rPr>
        <w:t> </w:t>
      </w:r>
      <w:r w:rsidR="004B7B00" w:rsidRPr="004B7B00">
        <w:rPr>
          <w:sz w:val="28"/>
          <w:szCs w:val="28"/>
        </w:rPr>
        <w:t>180</w:t>
      </w:r>
      <w:r w:rsidRPr="004B7B00">
        <w:rPr>
          <w:sz w:val="28"/>
          <w:szCs w:val="28"/>
        </w:rPr>
        <w:t>,</w:t>
      </w:r>
      <w:r w:rsidR="004B7B00" w:rsidRPr="004B7B00">
        <w:rPr>
          <w:sz w:val="28"/>
          <w:szCs w:val="28"/>
        </w:rPr>
        <w:t>23</w:t>
      </w:r>
      <w:r w:rsidR="00372C7D">
        <w:rPr>
          <w:sz w:val="28"/>
          <w:szCs w:val="28"/>
        </w:rPr>
        <w:t>3</w:t>
      </w:r>
      <w:r w:rsidRPr="004B7B00">
        <w:rPr>
          <w:sz w:val="28"/>
          <w:szCs w:val="28"/>
        </w:rPr>
        <w:t xml:space="preserve"> тис. грн,</w:t>
      </w:r>
    </w:p>
    <w:p w:rsidR="00BB274C" w:rsidRPr="00517F66" w:rsidRDefault="00BB274C" w:rsidP="00BB274C">
      <w:pPr>
        <w:keepNext/>
        <w:autoSpaceDE w:val="0"/>
        <w:autoSpaceDN w:val="0"/>
        <w:ind w:firstLine="709"/>
        <w:jc w:val="both"/>
        <w:outlineLvl w:val="2"/>
        <w:rPr>
          <w:sz w:val="28"/>
          <w:szCs w:val="28"/>
        </w:rPr>
      </w:pPr>
      <w:r w:rsidRPr="00C03784">
        <w:rPr>
          <w:sz w:val="28"/>
          <w:szCs w:val="28"/>
        </w:rPr>
        <w:t>- на 202</w:t>
      </w:r>
      <w:r w:rsidR="009F53FD" w:rsidRPr="00C03784">
        <w:rPr>
          <w:sz w:val="28"/>
          <w:szCs w:val="28"/>
        </w:rPr>
        <w:t>3</w:t>
      </w:r>
      <w:r w:rsidRPr="00C03784">
        <w:rPr>
          <w:sz w:val="28"/>
          <w:szCs w:val="28"/>
        </w:rPr>
        <w:t>-2025 роки – у межах бюджетних призначень.</w:t>
      </w:r>
      <w:r w:rsidRPr="00517F66">
        <w:rPr>
          <w:sz w:val="28"/>
          <w:szCs w:val="28"/>
        </w:rPr>
        <w:t xml:space="preserve"> </w:t>
      </w:r>
    </w:p>
    <w:p w:rsidR="00BB274C" w:rsidRPr="00517F66" w:rsidRDefault="00BB274C" w:rsidP="00BB274C">
      <w:pPr>
        <w:keepNext/>
        <w:autoSpaceDE w:val="0"/>
        <w:autoSpaceDN w:val="0"/>
        <w:ind w:firstLine="709"/>
        <w:jc w:val="both"/>
        <w:outlineLvl w:val="2"/>
        <w:rPr>
          <w:sz w:val="28"/>
          <w:szCs w:val="28"/>
        </w:rPr>
      </w:pPr>
      <w:r>
        <w:rPr>
          <w:sz w:val="28"/>
          <w:szCs w:val="28"/>
        </w:rPr>
        <w:t>У</w:t>
      </w:r>
      <w:r w:rsidRPr="00517F66">
        <w:rPr>
          <w:sz w:val="28"/>
          <w:szCs w:val="28"/>
        </w:rPr>
        <w:t xml:space="preserve"> тому числі:</w:t>
      </w:r>
    </w:p>
    <w:p w:rsidR="00BB274C" w:rsidRPr="00517F66" w:rsidRDefault="00BB274C" w:rsidP="00BB274C">
      <w:pPr>
        <w:keepNext/>
        <w:autoSpaceDE w:val="0"/>
        <w:autoSpaceDN w:val="0"/>
        <w:ind w:left="738"/>
        <w:jc w:val="both"/>
        <w:outlineLvl w:val="2"/>
        <w:rPr>
          <w:sz w:val="28"/>
          <w:szCs w:val="28"/>
        </w:rPr>
      </w:pPr>
      <w:r w:rsidRPr="00517F66">
        <w:rPr>
          <w:sz w:val="28"/>
          <w:szCs w:val="28"/>
        </w:rPr>
        <w:t xml:space="preserve">9.1. </w:t>
      </w:r>
      <w:r>
        <w:rPr>
          <w:sz w:val="28"/>
          <w:szCs w:val="28"/>
        </w:rPr>
        <w:t>К</w:t>
      </w:r>
      <w:r w:rsidRPr="00517F66">
        <w:rPr>
          <w:sz w:val="28"/>
          <w:szCs w:val="28"/>
        </w:rPr>
        <w:t>оштів обласного бюджету:</w:t>
      </w:r>
    </w:p>
    <w:p w:rsidR="00BB274C" w:rsidRDefault="00BB274C" w:rsidP="00BB274C">
      <w:pPr>
        <w:keepNext/>
        <w:autoSpaceDE w:val="0"/>
        <w:autoSpaceDN w:val="0"/>
        <w:ind w:firstLine="709"/>
        <w:jc w:val="both"/>
        <w:outlineLvl w:val="2"/>
        <w:rPr>
          <w:sz w:val="28"/>
          <w:szCs w:val="28"/>
        </w:rPr>
      </w:pPr>
      <w:r w:rsidRPr="00517F66">
        <w:rPr>
          <w:sz w:val="28"/>
          <w:szCs w:val="28"/>
        </w:rPr>
        <w:t xml:space="preserve">- на 2021 рік – </w:t>
      </w:r>
      <w:r w:rsidR="006A6643">
        <w:rPr>
          <w:sz w:val="28"/>
          <w:szCs w:val="28"/>
        </w:rPr>
        <w:t>61</w:t>
      </w:r>
      <w:r w:rsidRPr="00517F66">
        <w:rPr>
          <w:sz w:val="28"/>
          <w:szCs w:val="28"/>
        </w:rPr>
        <w:t xml:space="preserve"> </w:t>
      </w:r>
      <w:r w:rsidR="00EF1600">
        <w:rPr>
          <w:sz w:val="28"/>
          <w:szCs w:val="28"/>
        </w:rPr>
        <w:t>5</w:t>
      </w:r>
      <w:r w:rsidR="006A6643">
        <w:rPr>
          <w:sz w:val="28"/>
          <w:szCs w:val="28"/>
        </w:rPr>
        <w:t>5</w:t>
      </w:r>
      <w:r w:rsidR="00CF028E">
        <w:rPr>
          <w:sz w:val="28"/>
          <w:szCs w:val="28"/>
        </w:rPr>
        <w:t>0</w:t>
      </w:r>
      <w:r w:rsidRPr="00517F66">
        <w:rPr>
          <w:sz w:val="28"/>
          <w:szCs w:val="28"/>
        </w:rPr>
        <w:t>,</w:t>
      </w:r>
      <w:r w:rsidR="00CF028E">
        <w:rPr>
          <w:sz w:val="28"/>
          <w:szCs w:val="28"/>
        </w:rPr>
        <w:t>4</w:t>
      </w:r>
      <w:r>
        <w:rPr>
          <w:sz w:val="28"/>
          <w:szCs w:val="28"/>
        </w:rPr>
        <w:t xml:space="preserve"> тис. грн,</w:t>
      </w:r>
    </w:p>
    <w:p w:rsidR="000A4513" w:rsidRPr="00C03784" w:rsidRDefault="000A4513" w:rsidP="00BB274C">
      <w:pPr>
        <w:keepNext/>
        <w:autoSpaceDE w:val="0"/>
        <w:autoSpaceDN w:val="0"/>
        <w:ind w:firstLine="709"/>
        <w:jc w:val="both"/>
        <w:outlineLvl w:val="2"/>
        <w:rPr>
          <w:sz w:val="28"/>
          <w:szCs w:val="28"/>
        </w:rPr>
      </w:pPr>
      <w:r w:rsidRPr="00C03784">
        <w:rPr>
          <w:sz w:val="28"/>
          <w:szCs w:val="28"/>
        </w:rPr>
        <w:t xml:space="preserve">- на 2022 рік – </w:t>
      </w:r>
      <w:r w:rsidR="004B7B00" w:rsidRPr="004B7B00">
        <w:rPr>
          <w:sz w:val="28"/>
          <w:szCs w:val="28"/>
        </w:rPr>
        <w:t>41</w:t>
      </w:r>
      <w:r w:rsidRPr="004B7B00">
        <w:rPr>
          <w:sz w:val="28"/>
          <w:szCs w:val="28"/>
        </w:rPr>
        <w:t> </w:t>
      </w:r>
      <w:r w:rsidR="004B7B00" w:rsidRPr="004B7B00">
        <w:rPr>
          <w:sz w:val="28"/>
          <w:szCs w:val="28"/>
        </w:rPr>
        <w:t>180</w:t>
      </w:r>
      <w:r w:rsidRPr="004B7B00">
        <w:rPr>
          <w:sz w:val="28"/>
          <w:szCs w:val="28"/>
        </w:rPr>
        <w:t>,</w:t>
      </w:r>
      <w:r w:rsidR="004B7B00" w:rsidRPr="004B7B00">
        <w:rPr>
          <w:sz w:val="28"/>
          <w:szCs w:val="28"/>
        </w:rPr>
        <w:t>23</w:t>
      </w:r>
      <w:r w:rsidR="00372C7D">
        <w:rPr>
          <w:sz w:val="28"/>
          <w:szCs w:val="28"/>
        </w:rPr>
        <w:t>3</w:t>
      </w:r>
      <w:r w:rsidRPr="004B7B00">
        <w:rPr>
          <w:sz w:val="28"/>
          <w:szCs w:val="28"/>
        </w:rPr>
        <w:t xml:space="preserve"> тис. грн,</w:t>
      </w:r>
    </w:p>
    <w:p w:rsidR="00BB274C" w:rsidRPr="00517F66" w:rsidRDefault="00BB274C" w:rsidP="00BB274C">
      <w:pPr>
        <w:keepNext/>
        <w:autoSpaceDE w:val="0"/>
        <w:autoSpaceDN w:val="0"/>
        <w:ind w:firstLine="709"/>
        <w:jc w:val="both"/>
        <w:outlineLvl w:val="2"/>
        <w:rPr>
          <w:sz w:val="28"/>
          <w:szCs w:val="28"/>
        </w:rPr>
      </w:pPr>
      <w:r w:rsidRPr="00C03784">
        <w:rPr>
          <w:sz w:val="28"/>
          <w:szCs w:val="28"/>
        </w:rPr>
        <w:t>- на 202</w:t>
      </w:r>
      <w:r w:rsidR="009F53FD" w:rsidRPr="00C03784">
        <w:rPr>
          <w:sz w:val="28"/>
          <w:szCs w:val="28"/>
        </w:rPr>
        <w:t>3</w:t>
      </w:r>
      <w:r w:rsidRPr="00C03784">
        <w:rPr>
          <w:sz w:val="28"/>
          <w:szCs w:val="28"/>
        </w:rPr>
        <w:t>-2025 роки – у межах бюджетних призначень.</w:t>
      </w:r>
      <w:r w:rsidRPr="00517F66">
        <w:rPr>
          <w:sz w:val="28"/>
          <w:szCs w:val="28"/>
        </w:rPr>
        <w:t xml:space="preserve"> </w:t>
      </w:r>
    </w:p>
    <w:p w:rsidR="00BB274C" w:rsidRPr="00517F66" w:rsidRDefault="00BB274C" w:rsidP="00BB274C">
      <w:pPr>
        <w:pStyle w:val="a3"/>
        <w:tabs>
          <w:tab w:val="left" w:pos="993"/>
        </w:tabs>
        <w:ind w:right="142"/>
        <w:rPr>
          <w:sz w:val="16"/>
          <w:szCs w:val="16"/>
        </w:rPr>
      </w:pPr>
    </w:p>
    <w:p w:rsidR="00BB274C" w:rsidRDefault="00BB274C" w:rsidP="00BB274C">
      <w:pPr>
        <w:pStyle w:val="a3"/>
        <w:tabs>
          <w:tab w:val="left" w:pos="993"/>
        </w:tabs>
        <w:ind w:right="142"/>
        <w:rPr>
          <w:sz w:val="16"/>
          <w:szCs w:val="16"/>
        </w:rPr>
      </w:pPr>
    </w:p>
    <w:p w:rsidR="00BB274C" w:rsidRPr="00517F66" w:rsidRDefault="00BB274C" w:rsidP="00BB274C">
      <w:pPr>
        <w:pStyle w:val="a3"/>
        <w:tabs>
          <w:tab w:val="left" w:pos="993"/>
        </w:tabs>
        <w:ind w:right="142"/>
        <w:rPr>
          <w:sz w:val="16"/>
          <w:szCs w:val="16"/>
        </w:rPr>
      </w:pPr>
    </w:p>
    <w:p w:rsidR="008169E6" w:rsidRPr="000A4513" w:rsidRDefault="006C5291" w:rsidP="006C5291">
      <w:pPr>
        <w:jc w:val="center"/>
        <w:rPr>
          <w:sz w:val="28"/>
          <w:szCs w:val="28"/>
        </w:rPr>
      </w:pPr>
      <w:r>
        <w:rPr>
          <w:sz w:val="28"/>
          <w:szCs w:val="28"/>
        </w:rPr>
        <w:t>______________________________________________________________</w:t>
      </w:r>
    </w:p>
    <w:sectPr w:rsidR="008169E6" w:rsidRPr="000A4513" w:rsidSect="0051141D">
      <w:headerReference w:type="default" r:id="rId6"/>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47D" w:rsidRDefault="006B547D" w:rsidP="0051141D">
      <w:r>
        <w:separator/>
      </w:r>
    </w:p>
  </w:endnote>
  <w:endnote w:type="continuationSeparator" w:id="0">
    <w:p w:rsidR="006B547D" w:rsidRDefault="006B547D" w:rsidP="00511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47D" w:rsidRDefault="006B547D" w:rsidP="0051141D">
      <w:r>
        <w:separator/>
      </w:r>
    </w:p>
  </w:footnote>
  <w:footnote w:type="continuationSeparator" w:id="0">
    <w:p w:rsidR="006B547D" w:rsidRDefault="006B547D" w:rsidP="005114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41D" w:rsidRDefault="00414FC1" w:rsidP="00414FC1">
    <w:pPr>
      <w:pStyle w:val="a7"/>
      <w:tabs>
        <w:tab w:val="left" w:pos="6825"/>
      </w:tabs>
    </w:pPr>
    <w:r>
      <w:tab/>
    </w:r>
    <w:sdt>
      <w:sdtPr>
        <w:id w:val="2035688067"/>
        <w:docPartObj>
          <w:docPartGallery w:val="Page Numbers (Top of Page)"/>
          <w:docPartUnique/>
        </w:docPartObj>
      </w:sdtPr>
      <w:sdtEndPr/>
      <w:sdtContent>
        <w:r w:rsidR="0051141D">
          <w:fldChar w:fldCharType="begin"/>
        </w:r>
        <w:r w:rsidR="0051141D">
          <w:instrText>PAGE   \* MERGEFORMAT</w:instrText>
        </w:r>
        <w:r w:rsidR="0051141D">
          <w:fldChar w:fldCharType="separate"/>
        </w:r>
        <w:r w:rsidR="00B73F8C">
          <w:rPr>
            <w:noProof/>
          </w:rPr>
          <w:t>2</w:t>
        </w:r>
        <w:r w:rsidR="0051141D">
          <w:fldChar w:fldCharType="end"/>
        </w:r>
      </w:sdtContent>
    </w:sdt>
    <w:r>
      <w:tab/>
      <w:t>Продовження додатка 1</w:t>
    </w:r>
  </w:p>
  <w:p w:rsidR="0051141D" w:rsidRDefault="0051141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74C"/>
    <w:rsid w:val="000A4513"/>
    <w:rsid w:val="000A7351"/>
    <w:rsid w:val="000C1768"/>
    <w:rsid w:val="000C71D0"/>
    <w:rsid w:val="001366EA"/>
    <w:rsid w:val="001C5598"/>
    <w:rsid w:val="002817F9"/>
    <w:rsid w:val="002A435E"/>
    <w:rsid w:val="002B1198"/>
    <w:rsid w:val="00372C7D"/>
    <w:rsid w:val="0038499F"/>
    <w:rsid w:val="003F36E6"/>
    <w:rsid w:val="00414FC1"/>
    <w:rsid w:val="00461216"/>
    <w:rsid w:val="004B7B00"/>
    <w:rsid w:val="0051141D"/>
    <w:rsid w:val="00537908"/>
    <w:rsid w:val="00545824"/>
    <w:rsid w:val="00632F08"/>
    <w:rsid w:val="006A6643"/>
    <w:rsid w:val="006B547D"/>
    <w:rsid w:val="006C5291"/>
    <w:rsid w:val="006D6CC4"/>
    <w:rsid w:val="00811899"/>
    <w:rsid w:val="008169E6"/>
    <w:rsid w:val="00860A2D"/>
    <w:rsid w:val="00864650"/>
    <w:rsid w:val="0089701A"/>
    <w:rsid w:val="008A7B17"/>
    <w:rsid w:val="00955E91"/>
    <w:rsid w:val="009C081A"/>
    <w:rsid w:val="009F53FD"/>
    <w:rsid w:val="00A0299B"/>
    <w:rsid w:val="00AA11D8"/>
    <w:rsid w:val="00AB3A3E"/>
    <w:rsid w:val="00B132E9"/>
    <w:rsid w:val="00B43CD9"/>
    <w:rsid w:val="00B71461"/>
    <w:rsid w:val="00B73F8C"/>
    <w:rsid w:val="00BA1524"/>
    <w:rsid w:val="00BA19A3"/>
    <w:rsid w:val="00BB274C"/>
    <w:rsid w:val="00BB7A04"/>
    <w:rsid w:val="00BC39C8"/>
    <w:rsid w:val="00BE083A"/>
    <w:rsid w:val="00BF2F5C"/>
    <w:rsid w:val="00C03784"/>
    <w:rsid w:val="00C561A9"/>
    <w:rsid w:val="00C6582E"/>
    <w:rsid w:val="00C7237B"/>
    <w:rsid w:val="00CA5874"/>
    <w:rsid w:val="00CF028E"/>
    <w:rsid w:val="00D94C71"/>
    <w:rsid w:val="00E74877"/>
    <w:rsid w:val="00EF1600"/>
    <w:rsid w:val="00F7706D"/>
    <w:rsid w:val="00FE5F58"/>
    <w:rsid w:val="00FF3E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5DB8FC-73BF-416D-B12E-023156E8E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274C"/>
    <w:pPr>
      <w:spacing w:after="0" w:line="240" w:lineRule="auto"/>
    </w:pPr>
    <w:rPr>
      <w:rFonts w:ascii="Times New Roman" w:eastAsia="Calibri" w:hAnsi="Times New Roman" w:cs="Times New Roman"/>
      <w:sz w:val="20"/>
      <w:szCs w:val="20"/>
      <w:lang w:eastAsia="uk-UA"/>
    </w:rPr>
  </w:style>
  <w:style w:type="paragraph" w:styleId="3">
    <w:name w:val="heading 3"/>
    <w:basedOn w:val="a"/>
    <w:next w:val="a"/>
    <w:link w:val="30"/>
    <w:uiPriority w:val="99"/>
    <w:qFormat/>
    <w:rsid w:val="00BB274C"/>
    <w:pPr>
      <w:keepNext/>
      <w:autoSpaceDE w:val="0"/>
      <w:autoSpaceDN w:val="0"/>
      <w:jc w:val="center"/>
      <w:outlineLvl w:val="2"/>
    </w:pPr>
    <w:rPr>
      <w:rFonts w:eastAsia="Times New Roman"/>
      <w:b/>
      <w:bCs/>
      <w:sz w:val="26"/>
      <w:szCs w:val="26"/>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BB274C"/>
    <w:rPr>
      <w:rFonts w:ascii="Times New Roman" w:eastAsia="Times New Roman" w:hAnsi="Times New Roman" w:cs="Times New Roman"/>
      <w:b/>
      <w:bCs/>
      <w:sz w:val="26"/>
      <w:szCs w:val="26"/>
      <w:lang w:eastAsia="x-none"/>
    </w:rPr>
  </w:style>
  <w:style w:type="paragraph" w:styleId="a3">
    <w:name w:val="Body Text"/>
    <w:basedOn w:val="a"/>
    <w:link w:val="a4"/>
    <w:uiPriority w:val="99"/>
    <w:rsid w:val="00BB274C"/>
    <w:pPr>
      <w:jc w:val="both"/>
    </w:pPr>
    <w:rPr>
      <w:rFonts w:eastAsia="Times New Roman"/>
      <w:sz w:val="24"/>
      <w:lang w:eastAsia="x-none"/>
    </w:rPr>
  </w:style>
  <w:style w:type="character" w:customStyle="1" w:styleId="a4">
    <w:name w:val="Основний текст Знак"/>
    <w:basedOn w:val="a0"/>
    <w:link w:val="a3"/>
    <w:uiPriority w:val="99"/>
    <w:rsid w:val="00BB274C"/>
    <w:rPr>
      <w:rFonts w:ascii="Times New Roman" w:eastAsia="Times New Roman" w:hAnsi="Times New Roman" w:cs="Times New Roman"/>
      <w:sz w:val="24"/>
      <w:szCs w:val="20"/>
      <w:lang w:eastAsia="x-none"/>
    </w:rPr>
  </w:style>
  <w:style w:type="paragraph" w:styleId="a5">
    <w:name w:val="Balloon Text"/>
    <w:basedOn w:val="a"/>
    <w:link w:val="a6"/>
    <w:uiPriority w:val="99"/>
    <w:semiHidden/>
    <w:unhideWhenUsed/>
    <w:rsid w:val="0051141D"/>
    <w:rPr>
      <w:rFonts w:ascii="Segoe UI" w:hAnsi="Segoe UI" w:cs="Segoe UI"/>
      <w:sz w:val="18"/>
      <w:szCs w:val="18"/>
    </w:rPr>
  </w:style>
  <w:style w:type="character" w:customStyle="1" w:styleId="a6">
    <w:name w:val="Текст у виносці Знак"/>
    <w:basedOn w:val="a0"/>
    <w:link w:val="a5"/>
    <w:uiPriority w:val="99"/>
    <w:semiHidden/>
    <w:rsid w:val="0051141D"/>
    <w:rPr>
      <w:rFonts w:ascii="Segoe UI" w:eastAsia="Calibri" w:hAnsi="Segoe UI" w:cs="Segoe UI"/>
      <w:sz w:val="18"/>
      <w:szCs w:val="18"/>
      <w:lang w:eastAsia="uk-UA"/>
    </w:rPr>
  </w:style>
  <w:style w:type="paragraph" w:styleId="a7">
    <w:name w:val="header"/>
    <w:basedOn w:val="a"/>
    <w:link w:val="a8"/>
    <w:uiPriority w:val="99"/>
    <w:unhideWhenUsed/>
    <w:rsid w:val="0051141D"/>
    <w:pPr>
      <w:tabs>
        <w:tab w:val="center" w:pos="4819"/>
        <w:tab w:val="right" w:pos="9639"/>
      </w:tabs>
    </w:pPr>
  </w:style>
  <w:style w:type="character" w:customStyle="1" w:styleId="a8">
    <w:name w:val="Верхній колонтитул Знак"/>
    <w:basedOn w:val="a0"/>
    <w:link w:val="a7"/>
    <w:uiPriority w:val="99"/>
    <w:rsid w:val="0051141D"/>
    <w:rPr>
      <w:rFonts w:ascii="Times New Roman" w:eastAsia="Calibri" w:hAnsi="Times New Roman" w:cs="Times New Roman"/>
      <w:sz w:val="20"/>
      <w:szCs w:val="20"/>
      <w:lang w:eastAsia="uk-UA"/>
    </w:rPr>
  </w:style>
  <w:style w:type="paragraph" w:styleId="a9">
    <w:name w:val="footer"/>
    <w:basedOn w:val="a"/>
    <w:link w:val="aa"/>
    <w:uiPriority w:val="99"/>
    <w:unhideWhenUsed/>
    <w:rsid w:val="0051141D"/>
    <w:pPr>
      <w:tabs>
        <w:tab w:val="center" w:pos="4819"/>
        <w:tab w:val="right" w:pos="9639"/>
      </w:tabs>
    </w:pPr>
  </w:style>
  <w:style w:type="character" w:customStyle="1" w:styleId="aa">
    <w:name w:val="Нижній колонтитул Знак"/>
    <w:basedOn w:val="a0"/>
    <w:link w:val="a9"/>
    <w:uiPriority w:val="99"/>
    <w:rsid w:val="0051141D"/>
    <w:rPr>
      <w:rFonts w:ascii="Times New Roman" w:eastAsia="Calibri" w:hAnsi="Times New Roman"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5562</Words>
  <Characters>3171</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Loda546</dc:creator>
  <cp:lastModifiedBy>PC4</cp:lastModifiedBy>
  <cp:revision>2</cp:revision>
  <cp:lastPrinted>2021-12-03T14:29:00Z</cp:lastPrinted>
  <dcterms:created xsi:type="dcterms:W3CDTF">2022-07-18T11:37:00Z</dcterms:created>
  <dcterms:modified xsi:type="dcterms:W3CDTF">2022-07-18T11:37:00Z</dcterms:modified>
</cp:coreProperties>
</file>