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1C55A" w14:textId="5A3B88EE" w:rsidR="00F37022" w:rsidRPr="00DB53F1" w:rsidRDefault="0036375B" w:rsidP="0051291B">
      <w:pPr>
        <w:ind w:left="5664"/>
        <w:rPr>
          <w:bCs/>
          <w:sz w:val="28"/>
          <w:szCs w:val="28"/>
        </w:rPr>
      </w:pPr>
      <w:r w:rsidRPr="00DB53F1">
        <w:rPr>
          <w:bCs/>
          <w:sz w:val="28"/>
          <w:szCs w:val="28"/>
        </w:rPr>
        <w:t xml:space="preserve">ЗАТВЕРДЖЕНО </w:t>
      </w:r>
    </w:p>
    <w:p w14:paraId="67923AB5" w14:textId="77777777" w:rsidR="00305B13" w:rsidRDefault="0036375B" w:rsidP="0051291B">
      <w:pPr>
        <w:ind w:left="5664"/>
        <w:rPr>
          <w:sz w:val="28"/>
          <w:szCs w:val="28"/>
        </w:rPr>
      </w:pPr>
      <w:r w:rsidRPr="00DB53F1">
        <w:rPr>
          <w:sz w:val="28"/>
          <w:szCs w:val="28"/>
        </w:rPr>
        <w:t xml:space="preserve">Розпорядження </w:t>
      </w:r>
      <w:r w:rsidR="00305B13" w:rsidRPr="00DB53F1">
        <w:rPr>
          <w:sz w:val="28"/>
          <w:szCs w:val="28"/>
        </w:rPr>
        <w:t>начальника</w:t>
      </w:r>
      <w:r w:rsidR="00305B13">
        <w:rPr>
          <w:sz w:val="28"/>
          <w:szCs w:val="28"/>
        </w:rPr>
        <w:t xml:space="preserve"> </w:t>
      </w:r>
    </w:p>
    <w:p w14:paraId="604DEE66" w14:textId="589858C4" w:rsidR="00F37022" w:rsidRPr="0051291B" w:rsidRDefault="0036375B" w:rsidP="0051291B">
      <w:pPr>
        <w:ind w:left="5664"/>
        <w:rPr>
          <w:bCs/>
          <w:sz w:val="28"/>
          <w:szCs w:val="28"/>
        </w:rPr>
      </w:pPr>
      <w:r w:rsidRPr="0051291B">
        <w:rPr>
          <w:sz w:val="28"/>
          <w:szCs w:val="28"/>
        </w:rPr>
        <w:t>обласної</w:t>
      </w:r>
      <w:r w:rsidR="00305B13">
        <w:rPr>
          <w:sz w:val="28"/>
          <w:szCs w:val="28"/>
        </w:rPr>
        <w:t xml:space="preserve"> </w:t>
      </w:r>
      <w:r w:rsidRPr="0051291B">
        <w:rPr>
          <w:bCs/>
          <w:sz w:val="28"/>
          <w:szCs w:val="28"/>
        </w:rPr>
        <w:t>військової адміністрації</w:t>
      </w:r>
    </w:p>
    <w:p w14:paraId="28BFA2DC" w14:textId="651CF54D" w:rsidR="00F37022" w:rsidRPr="0051291B" w:rsidRDefault="0036375B" w:rsidP="0051291B">
      <w:pPr>
        <w:ind w:left="5664"/>
        <w:rPr>
          <w:bCs/>
          <w:sz w:val="28"/>
          <w:szCs w:val="28"/>
        </w:rPr>
      </w:pPr>
      <w:r w:rsidRPr="0051291B">
        <w:rPr>
          <w:bCs/>
          <w:sz w:val="28"/>
          <w:szCs w:val="28"/>
        </w:rPr>
        <w:t>__________№____________</w:t>
      </w:r>
    </w:p>
    <w:p w14:paraId="634FAF8D" w14:textId="77777777" w:rsidR="0051291B" w:rsidRDefault="0051291B" w:rsidP="00564987">
      <w:pPr>
        <w:ind w:left="-1418" w:firstLine="708"/>
        <w:jc w:val="center"/>
        <w:rPr>
          <w:b/>
          <w:bCs/>
          <w:sz w:val="28"/>
          <w:szCs w:val="28"/>
        </w:rPr>
      </w:pPr>
    </w:p>
    <w:p w14:paraId="5AD7A9A9" w14:textId="06BEDDCD" w:rsidR="00564987" w:rsidRPr="008C1CAB" w:rsidRDefault="00564987" w:rsidP="00564987">
      <w:pPr>
        <w:ind w:left="-1418" w:firstLine="708"/>
        <w:jc w:val="center"/>
        <w:rPr>
          <w:b/>
          <w:bCs/>
          <w:sz w:val="28"/>
          <w:szCs w:val="28"/>
        </w:rPr>
      </w:pPr>
      <w:r w:rsidRPr="008C1CAB">
        <w:rPr>
          <w:b/>
          <w:bCs/>
          <w:sz w:val="28"/>
          <w:szCs w:val="28"/>
        </w:rPr>
        <w:t>СТРАТЕГІЯ</w:t>
      </w:r>
    </w:p>
    <w:p w14:paraId="1E94AD23" w14:textId="04C0C892" w:rsidR="00564987" w:rsidRPr="008C1CAB" w:rsidRDefault="005B4EEE" w:rsidP="00564987">
      <w:pPr>
        <w:ind w:left="2832" w:hanging="297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3874F6">
        <w:rPr>
          <w:b/>
          <w:bCs/>
          <w:sz w:val="28"/>
          <w:szCs w:val="28"/>
        </w:rPr>
        <w:t xml:space="preserve"> </w:t>
      </w:r>
      <w:r w:rsidR="00564987" w:rsidRPr="008C1CAB">
        <w:rPr>
          <w:b/>
          <w:bCs/>
          <w:sz w:val="28"/>
          <w:szCs w:val="28"/>
        </w:rPr>
        <w:t>контролю над тютюном у Львівській області</w:t>
      </w:r>
    </w:p>
    <w:p w14:paraId="48C2CB0A" w14:textId="2471E6EB" w:rsidR="00564987" w:rsidRPr="008C1CAB" w:rsidRDefault="00564987" w:rsidP="00564987">
      <w:pPr>
        <w:ind w:left="-993" w:firstLine="708"/>
        <w:jc w:val="center"/>
        <w:rPr>
          <w:b/>
          <w:bCs/>
          <w:sz w:val="28"/>
          <w:szCs w:val="28"/>
        </w:rPr>
      </w:pPr>
      <w:r w:rsidRPr="008C1CAB">
        <w:rPr>
          <w:b/>
          <w:bCs/>
          <w:sz w:val="28"/>
          <w:szCs w:val="28"/>
        </w:rPr>
        <w:t>на 202</w:t>
      </w:r>
      <w:r w:rsidR="003874F6">
        <w:rPr>
          <w:b/>
          <w:bCs/>
          <w:sz w:val="28"/>
          <w:szCs w:val="28"/>
        </w:rPr>
        <w:t>3</w:t>
      </w:r>
      <w:r w:rsidRPr="008C1CAB">
        <w:rPr>
          <w:b/>
          <w:bCs/>
          <w:sz w:val="28"/>
          <w:szCs w:val="28"/>
        </w:rPr>
        <w:t xml:space="preserve"> – 2026 роки</w:t>
      </w:r>
    </w:p>
    <w:p w14:paraId="73F428BA" w14:textId="77777777" w:rsidR="00564987" w:rsidRPr="009B3C44" w:rsidRDefault="00564987">
      <w:pPr>
        <w:ind w:left="2832" w:firstLine="708"/>
        <w:jc w:val="center"/>
        <w:rPr>
          <w:b/>
          <w:bCs/>
          <w:sz w:val="28"/>
          <w:szCs w:val="28"/>
        </w:rPr>
      </w:pPr>
    </w:p>
    <w:p w14:paraId="78CB6F90" w14:textId="687B1549" w:rsidR="00BE02BD" w:rsidRPr="008C1CAB" w:rsidRDefault="008C3811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 xml:space="preserve">Висока поширеність вживання тютюнових виробів в Україні є одним з ключових факторів ризику неінфекційних захворювань (далі </w:t>
      </w:r>
      <w:r w:rsidR="00EB48D7" w:rsidRPr="00DB53F1">
        <w:rPr>
          <w:sz w:val="28"/>
          <w:szCs w:val="28"/>
        </w:rPr>
        <w:t>–</w:t>
      </w:r>
      <w:r w:rsidR="00BD7703"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>НІЗ). Внаслідок куріння щороку передчасно помирають в середньому 85</w:t>
      </w:r>
      <w:r w:rsidR="00BE02BD" w:rsidRPr="008C1CAB">
        <w:rPr>
          <w:sz w:val="28"/>
          <w:szCs w:val="28"/>
        </w:rPr>
        <w:t xml:space="preserve"> тисяч українців (</w:t>
      </w:r>
      <w:r w:rsidR="004461AA" w:rsidRPr="008C1CAB">
        <w:rPr>
          <w:sz w:val="28"/>
          <w:szCs w:val="28"/>
        </w:rPr>
        <w:t>з них близько 13 тисяч – пасивні курці)</w:t>
      </w:r>
      <w:r w:rsidR="00BE02BD" w:rsidRPr="008C1CAB">
        <w:rPr>
          <w:sz w:val="28"/>
          <w:szCs w:val="28"/>
        </w:rPr>
        <w:t>, що становить 12%</w:t>
      </w:r>
      <w:r w:rsidR="004461AA" w:rsidRPr="008C1CAB">
        <w:rPr>
          <w:sz w:val="28"/>
          <w:szCs w:val="28"/>
        </w:rPr>
        <w:t xml:space="preserve"> від загальної смертності. Від хвороб та смертності, спричинених вживанням тютюну, економіка України щороку втрачає 3,2% </w:t>
      </w:r>
      <w:r w:rsidR="00BD7703">
        <w:rPr>
          <w:sz w:val="28"/>
          <w:szCs w:val="28"/>
        </w:rPr>
        <w:t>валового внутрішнього продукту</w:t>
      </w:r>
      <w:r w:rsidR="001E6A77">
        <w:rPr>
          <w:sz w:val="28"/>
          <w:szCs w:val="28"/>
        </w:rPr>
        <w:t xml:space="preserve"> (ВВП)</w:t>
      </w:r>
      <w:r w:rsidR="004461AA" w:rsidRPr="008C1CAB">
        <w:rPr>
          <w:sz w:val="28"/>
          <w:szCs w:val="28"/>
        </w:rPr>
        <w:t>. Загалом досі 23% дорослих (від 15 років) та майже 15% підлітків (13-15 років) вживають тютюнові вироби.</w:t>
      </w:r>
    </w:p>
    <w:p w14:paraId="2F83DB3A" w14:textId="77777777" w:rsidR="00BE02BD" w:rsidRPr="008C1CAB" w:rsidRDefault="00023BB0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За даними</w:t>
      </w:r>
      <w:r w:rsidR="006A00D6">
        <w:rPr>
          <w:sz w:val="28"/>
          <w:szCs w:val="28"/>
        </w:rPr>
        <w:t xml:space="preserve"> </w:t>
      </w:r>
      <w:hyperlink r:id="rId8" w:tgtFrame="_blank" w:history="1">
        <w:r w:rsidRPr="008C1CAB">
          <w:rPr>
            <w:sz w:val="28"/>
            <w:szCs w:val="28"/>
          </w:rPr>
          <w:t>опитування, проведеного Київським міжнародним інститутом соціології у травні 2022 року</w:t>
        </w:r>
      </w:hyperlink>
      <w:r w:rsidRPr="008C1CAB">
        <w:rPr>
          <w:sz w:val="28"/>
          <w:szCs w:val="28"/>
        </w:rPr>
        <w:t>, порівняно з 2020 роком</w:t>
      </w:r>
      <w:r w:rsidR="00BE02BD" w:rsidRPr="008C1CAB">
        <w:rPr>
          <w:sz w:val="28"/>
          <w:szCs w:val="28"/>
        </w:rPr>
        <w:t xml:space="preserve">, </w:t>
      </w:r>
      <w:r w:rsidRPr="008C1CAB">
        <w:rPr>
          <w:sz w:val="28"/>
          <w:szCs w:val="28"/>
        </w:rPr>
        <w:t>відсоток щоденних курців збільшився серед чоловіків з 38,0% до 44,4%, серед жінок з 10,8% до 14,9%, серед усіх опитаних з 23,1% до 28,3%</w:t>
      </w:r>
      <w:r w:rsidR="00BE02BD" w:rsidRPr="008C1CAB">
        <w:rPr>
          <w:sz w:val="28"/>
          <w:szCs w:val="28"/>
        </w:rPr>
        <w:t>.</w:t>
      </w:r>
    </w:p>
    <w:p w14:paraId="707E19E8" w14:textId="72E3C831" w:rsidR="00BE02BD" w:rsidRPr="008C1CAB" w:rsidRDefault="00D46B97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На виконання Закону України</w:t>
      </w:r>
      <w:r w:rsidR="0070392A"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 xml:space="preserve">«Про ратифікацію Рамкової конвенції Всесвітньої організації охорони здоров’я із боротьби проти тютюну» докладено максимально зусиль для захисту населення від тютюну. </w:t>
      </w:r>
      <w:r w:rsidR="002925DC" w:rsidRPr="008C1CAB">
        <w:rPr>
          <w:sz w:val="28"/>
          <w:szCs w:val="28"/>
        </w:rPr>
        <w:t>Зобов</w:t>
      </w:r>
      <w:r w:rsidR="00DD1CE9" w:rsidRPr="008C1CAB">
        <w:rPr>
          <w:sz w:val="28"/>
          <w:szCs w:val="28"/>
        </w:rPr>
        <w:t>’</w:t>
      </w:r>
      <w:r w:rsidR="002925DC" w:rsidRPr="008C1CAB">
        <w:rPr>
          <w:sz w:val="28"/>
          <w:szCs w:val="28"/>
        </w:rPr>
        <w:t>язання щодо реалізації положень</w:t>
      </w:r>
      <w:r w:rsidR="0093615F" w:rsidRPr="008C1CAB">
        <w:rPr>
          <w:sz w:val="28"/>
          <w:szCs w:val="28"/>
        </w:rPr>
        <w:t xml:space="preserve"> </w:t>
      </w:r>
      <w:r w:rsidR="0044739A" w:rsidRPr="00DB53F1">
        <w:rPr>
          <w:sz w:val="28"/>
          <w:szCs w:val="28"/>
        </w:rPr>
        <w:t>цієї</w:t>
      </w:r>
      <w:r w:rsidR="0093615F" w:rsidRPr="008C1CAB">
        <w:rPr>
          <w:sz w:val="28"/>
          <w:szCs w:val="28"/>
        </w:rPr>
        <w:t xml:space="preserve"> конвенції включено до Угоди про Асоціацію між Україною та Європейським </w:t>
      </w:r>
      <w:r w:rsidR="0044739A" w:rsidRPr="00DB53F1">
        <w:rPr>
          <w:sz w:val="28"/>
          <w:szCs w:val="28"/>
        </w:rPr>
        <w:t>С</w:t>
      </w:r>
      <w:r w:rsidR="0093615F" w:rsidRPr="008C1CAB">
        <w:rPr>
          <w:sz w:val="28"/>
          <w:szCs w:val="28"/>
        </w:rPr>
        <w:t xml:space="preserve">оюзом. Саме завдяки цьому на </w:t>
      </w:r>
      <w:r w:rsidR="00FC197D" w:rsidRPr="008C1CAB">
        <w:rPr>
          <w:sz w:val="28"/>
          <w:szCs w:val="28"/>
        </w:rPr>
        <w:t xml:space="preserve">національному рівні розроблено законодавство з контролю над тютюном, що визначає основні принципи та напрями державної політики щодо </w:t>
      </w:r>
      <w:r w:rsidR="006E1D4B" w:rsidRPr="00DB53F1">
        <w:rPr>
          <w:sz w:val="28"/>
          <w:szCs w:val="28"/>
        </w:rPr>
        <w:t>запобігання</w:t>
      </w:r>
      <w:r w:rsidR="00FC197D" w:rsidRPr="00DB53F1">
        <w:rPr>
          <w:sz w:val="28"/>
          <w:szCs w:val="28"/>
        </w:rPr>
        <w:t xml:space="preserve"> </w:t>
      </w:r>
      <w:r w:rsidR="00B84B1B" w:rsidRPr="00DB53F1">
        <w:rPr>
          <w:sz w:val="28"/>
          <w:szCs w:val="28"/>
        </w:rPr>
        <w:t>тютюнокурінню</w:t>
      </w:r>
      <w:r w:rsidR="00FC197D" w:rsidRPr="008C1CAB">
        <w:rPr>
          <w:sz w:val="28"/>
          <w:szCs w:val="28"/>
        </w:rPr>
        <w:t xml:space="preserve">, зниження рівня вживання </w:t>
      </w:r>
      <w:r w:rsidR="00B84B1B" w:rsidRPr="00DB53F1">
        <w:rPr>
          <w:sz w:val="28"/>
          <w:szCs w:val="28"/>
        </w:rPr>
        <w:t>тютюнових виробів</w:t>
      </w:r>
      <w:r w:rsidR="00B84B1B" w:rsidRPr="008C1CAB">
        <w:rPr>
          <w:sz w:val="28"/>
          <w:szCs w:val="28"/>
        </w:rPr>
        <w:t xml:space="preserve"> </w:t>
      </w:r>
      <w:r w:rsidR="00FC197D" w:rsidRPr="008C1CAB">
        <w:rPr>
          <w:sz w:val="28"/>
          <w:szCs w:val="28"/>
        </w:rPr>
        <w:t xml:space="preserve">серед населення, обмеження доступу до них дітей, охорони здоров’я населення від шкоди, </w:t>
      </w:r>
      <w:r w:rsidR="00866DFA">
        <w:rPr>
          <w:sz w:val="28"/>
          <w:szCs w:val="28"/>
        </w:rPr>
        <w:t>заподіяної</w:t>
      </w:r>
      <w:r w:rsidR="00FC197D" w:rsidRPr="008C1CAB">
        <w:rPr>
          <w:sz w:val="28"/>
          <w:szCs w:val="28"/>
        </w:rPr>
        <w:t xml:space="preserve"> їхньому здоров’ю</w:t>
      </w:r>
      <w:r w:rsidR="005C25B3">
        <w:rPr>
          <w:sz w:val="28"/>
          <w:szCs w:val="28"/>
        </w:rPr>
        <w:t xml:space="preserve"> </w:t>
      </w:r>
      <w:r w:rsidR="005C25B3" w:rsidRPr="00DB53F1">
        <w:rPr>
          <w:sz w:val="28"/>
          <w:szCs w:val="28"/>
        </w:rPr>
        <w:t>внаслідок розвитку захворювань, інвалідності, а також смертності, спричинених курінням тютюнових виробів чи іншим способом їх вживання</w:t>
      </w:r>
      <w:r w:rsidR="005C25B3" w:rsidRPr="005C25B3">
        <w:rPr>
          <w:sz w:val="28"/>
          <w:szCs w:val="28"/>
        </w:rPr>
        <w:t>.</w:t>
      </w:r>
    </w:p>
    <w:p w14:paraId="6917AE1D" w14:textId="26554C8E" w:rsidR="00BE02BD" w:rsidRPr="008C1CAB" w:rsidRDefault="005B100B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Верховна Рада України 16 грудня 2021 року ухвалила Закон Україн</w:t>
      </w:r>
      <w:r w:rsidRPr="00DB53F1">
        <w:rPr>
          <w:sz w:val="28"/>
          <w:szCs w:val="28"/>
        </w:rPr>
        <w:t>и «</w:t>
      </w:r>
      <w:r w:rsidRPr="008C1CAB">
        <w:rPr>
          <w:sz w:val="28"/>
          <w:szCs w:val="28"/>
        </w:rPr>
        <w:t>Про внесення змін до деяких законів України щодо охорони здоров’я населення від шкідливого впливу тютюну» (далі</w:t>
      </w:r>
      <w:r w:rsidR="001E6A77">
        <w:rPr>
          <w:sz w:val="28"/>
          <w:szCs w:val="28"/>
        </w:rPr>
        <w:t xml:space="preserve"> </w:t>
      </w:r>
      <w:r w:rsidR="001E5957">
        <w:rPr>
          <w:sz w:val="28"/>
          <w:szCs w:val="28"/>
        </w:rPr>
        <w:t>–</w:t>
      </w:r>
      <w:r w:rsidR="001E6A77"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>З</w:t>
      </w:r>
      <w:r w:rsidR="00BE02BD" w:rsidRPr="008C1CAB">
        <w:rPr>
          <w:sz w:val="28"/>
          <w:szCs w:val="28"/>
        </w:rPr>
        <w:t xml:space="preserve">акон). Так, </w:t>
      </w:r>
      <w:r w:rsidR="00E27A1E" w:rsidRPr="00DB53F1">
        <w:rPr>
          <w:sz w:val="28"/>
          <w:szCs w:val="28"/>
        </w:rPr>
        <w:t>з</w:t>
      </w:r>
      <w:r w:rsidR="00E27A1E">
        <w:rPr>
          <w:sz w:val="28"/>
          <w:szCs w:val="28"/>
        </w:rPr>
        <w:t xml:space="preserve"> </w:t>
      </w:r>
      <w:r w:rsidR="00BE02BD" w:rsidRPr="008C1CAB">
        <w:rPr>
          <w:sz w:val="28"/>
          <w:szCs w:val="28"/>
        </w:rPr>
        <w:t xml:space="preserve">11 липня 2022 року </w:t>
      </w:r>
      <w:r w:rsidRPr="008C1CAB">
        <w:rPr>
          <w:sz w:val="28"/>
          <w:szCs w:val="28"/>
        </w:rPr>
        <w:t>запроваджуються додаткові правила щодо захисту бездимного середовища</w:t>
      </w:r>
      <w:r w:rsidR="00380DA7" w:rsidRPr="00DB53F1">
        <w:rPr>
          <w:sz w:val="28"/>
          <w:szCs w:val="28"/>
        </w:rPr>
        <w:t xml:space="preserve">: </w:t>
      </w:r>
      <w:r w:rsidR="00942C67" w:rsidRPr="00DB53F1">
        <w:rPr>
          <w:sz w:val="28"/>
          <w:szCs w:val="28"/>
        </w:rPr>
        <w:t>з</w:t>
      </w:r>
      <w:r w:rsidR="00942C67" w:rsidRPr="008C1CAB">
        <w:rPr>
          <w:sz w:val="28"/>
          <w:szCs w:val="28"/>
        </w:rPr>
        <w:t xml:space="preserve">аборонено куріння, вживання та використання </w:t>
      </w:r>
      <w:r w:rsidR="00714B5E" w:rsidRPr="008C1CAB">
        <w:rPr>
          <w:sz w:val="28"/>
          <w:szCs w:val="28"/>
        </w:rPr>
        <w:t>тютюнових виробів, предметі</w:t>
      </w:r>
      <w:r w:rsidR="00BE02BD" w:rsidRPr="008C1CAB">
        <w:rPr>
          <w:sz w:val="28"/>
          <w:szCs w:val="28"/>
        </w:rPr>
        <w:t xml:space="preserve">в, пов’язаних з їх вживанням, </w:t>
      </w:r>
      <w:r w:rsidR="00714B5E" w:rsidRPr="008C1CAB">
        <w:rPr>
          <w:sz w:val="28"/>
          <w:szCs w:val="28"/>
        </w:rPr>
        <w:t>трав’яних виробів для куріння; електронних сигарет, пристроїв для споживання тютюнових ви</w:t>
      </w:r>
      <w:r w:rsidR="00BE02BD" w:rsidRPr="008C1CAB">
        <w:rPr>
          <w:sz w:val="28"/>
          <w:szCs w:val="28"/>
        </w:rPr>
        <w:t>робів без їх згоряння; кальянів.</w:t>
      </w:r>
    </w:p>
    <w:p w14:paraId="4C7F8EBD" w14:textId="087236B8" w:rsidR="00BE02BD" w:rsidRPr="008C1CAB" w:rsidRDefault="008300BE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У Законі чітко визначений перелік місць</w:t>
      </w:r>
      <w:r w:rsidR="00F679AE" w:rsidRPr="008C1CAB">
        <w:rPr>
          <w:sz w:val="28"/>
          <w:szCs w:val="28"/>
        </w:rPr>
        <w:t>, де заборонено куріння тютюнових і нікотинових виробів</w:t>
      </w:r>
      <w:r w:rsidR="001E6A77">
        <w:rPr>
          <w:sz w:val="28"/>
          <w:szCs w:val="28"/>
        </w:rPr>
        <w:t>,</w:t>
      </w:r>
      <w:r w:rsidR="00F679AE" w:rsidRPr="008C1CAB">
        <w:rPr>
          <w:sz w:val="28"/>
          <w:szCs w:val="28"/>
        </w:rPr>
        <w:t xml:space="preserve"> та встановлення знаків щодо заборони куріння. Крім того, недотримання вимог Закону передбачає накладення штрафних санкцій на порушників. Суб’єкти господарювання повинні забезпечити дотримання антитютюнового законодавства у своїх закладах та установах. </w:t>
      </w:r>
    </w:p>
    <w:p w14:paraId="5493BA55" w14:textId="55DB3564" w:rsidR="00BE02BD" w:rsidRDefault="005870C1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lastRenderedPageBreak/>
        <w:t xml:space="preserve">Втручання тютюнової індустрії, яка намагається обминути деякі </w:t>
      </w:r>
      <w:r w:rsidRPr="00164D7B">
        <w:rPr>
          <w:sz w:val="28"/>
          <w:szCs w:val="28"/>
        </w:rPr>
        <w:t>законодавч</w:t>
      </w:r>
      <w:r w:rsidR="00E82E18" w:rsidRPr="00164D7B">
        <w:rPr>
          <w:sz w:val="28"/>
          <w:szCs w:val="28"/>
        </w:rPr>
        <w:t>і</w:t>
      </w:r>
      <w:r w:rsidRPr="00164D7B">
        <w:rPr>
          <w:sz w:val="28"/>
          <w:szCs w:val="28"/>
        </w:rPr>
        <w:t xml:space="preserve"> вимог</w:t>
      </w:r>
      <w:r w:rsidR="00E82E18" w:rsidRPr="00164D7B">
        <w:rPr>
          <w:sz w:val="28"/>
          <w:szCs w:val="28"/>
        </w:rPr>
        <w:t>и</w:t>
      </w:r>
      <w:r w:rsidRPr="008C1CAB">
        <w:rPr>
          <w:sz w:val="28"/>
          <w:szCs w:val="28"/>
        </w:rPr>
        <w:t>, сповільнює темп зменшення поширеності куріння. Неоднозначність трактування Закону України «Про внесення змін до деяких законодавчих актів України щодо заборони реклами, спонсорства</w:t>
      </w:r>
      <w:r w:rsidR="001D5EE1" w:rsidRPr="008C1CAB">
        <w:rPr>
          <w:sz w:val="28"/>
          <w:szCs w:val="28"/>
        </w:rPr>
        <w:t xml:space="preserve"> та стимулювання продажу тютюнових виробів» щодо реклами у </w:t>
      </w:r>
      <w:r w:rsidR="00E82E18" w:rsidRPr="00863931">
        <w:rPr>
          <w:sz w:val="28"/>
          <w:szCs w:val="28"/>
        </w:rPr>
        <w:t>місцях</w:t>
      </w:r>
      <w:r w:rsidR="001D5EE1" w:rsidRPr="008C1CAB">
        <w:rPr>
          <w:sz w:val="28"/>
          <w:szCs w:val="28"/>
        </w:rPr>
        <w:t xml:space="preserve"> продажу стало причиною того, що вітрини магазинів та кіосків перетворились на рекламні майданчики, а неналежний контроль за виконанням заборони про рекламування тютюну призвів до наявності промоутерів, які пропонують ті чи інші бренди тютюнових виробів. Це ускладнює</w:t>
      </w:r>
      <w:r w:rsidR="00B46FAF" w:rsidRPr="008C1CAB">
        <w:rPr>
          <w:sz w:val="28"/>
          <w:szCs w:val="28"/>
        </w:rPr>
        <w:t xml:space="preserve"> виконання Закону України «Про заходи щодо попередження та зменшення вживання тютюнових виробів і їх шкідливого впливу на здоров’я населення» щодо заборони нелегальної торгівлі тютюновими виробами (реалізація товарів без акцизів, без ліцензій), продажу тютюнових виробів неповнолітні</w:t>
      </w:r>
      <w:r w:rsidR="00B46FAF" w:rsidRPr="00863931">
        <w:rPr>
          <w:sz w:val="28"/>
          <w:szCs w:val="28"/>
        </w:rPr>
        <w:t>м</w:t>
      </w:r>
      <w:r w:rsidR="00B46FAF" w:rsidRPr="008C1CAB">
        <w:rPr>
          <w:sz w:val="28"/>
          <w:szCs w:val="28"/>
        </w:rPr>
        <w:t xml:space="preserve"> тощо.</w:t>
      </w:r>
    </w:p>
    <w:p w14:paraId="559C1A77" w14:textId="61B57C8C" w:rsidR="002B7979" w:rsidRDefault="002B7979" w:rsidP="0051291B">
      <w:pPr>
        <w:ind w:firstLine="567"/>
        <w:rPr>
          <w:sz w:val="28"/>
          <w:szCs w:val="28"/>
        </w:rPr>
      </w:pPr>
      <w:r w:rsidRPr="00863931">
        <w:rPr>
          <w:sz w:val="28"/>
          <w:szCs w:val="28"/>
        </w:rPr>
        <w:t>Розроблення Стратегії та реалізація Плану заходів відповідає статті 8 Закону України</w:t>
      </w:r>
      <w:r w:rsidRPr="008C1CAB">
        <w:rPr>
          <w:sz w:val="28"/>
          <w:szCs w:val="28"/>
        </w:rPr>
        <w:t xml:space="preserve"> «Про заходи щодо попередження та зменшення вживання тютюнових виробів і їх шкідливог</w:t>
      </w:r>
      <w:r w:rsidR="00AD4FCB">
        <w:rPr>
          <w:sz w:val="28"/>
          <w:szCs w:val="28"/>
        </w:rPr>
        <w:t xml:space="preserve">о впливу на здоров’я населення», </w:t>
      </w:r>
      <w:r w:rsidR="00AD4FCB" w:rsidRPr="00863931">
        <w:rPr>
          <w:sz w:val="28"/>
          <w:szCs w:val="28"/>
        </w:rPr>
        <w:t>в якій визначаються</w:t>
      </w:r>
      <w:r>
        <w:rPr>
          <w:sz w:val="28"/>
          <w:szCs w:val="28"/>
        </w:rPr>
        <w:t xml:space="preserve"> </w:t>
      </w:r>
      <w:r w:rsidR="00AD4FCB" w:rsidRPr="00863931">
        <w:rPr>
          <w:sz w:val="28"/>
          <w:szCs w:val="28"/>
        </w:rPr>
        <w:t>п</w:t>
      </w:r>
      <w:r w:rsidRPr="008C1CAB">
        <w:rPr>
          <w:sz w:val="28"/>
          <w:szCs w:val="28"/>
        </w:rPr>
        <w:t>овноваження органів місцевого самоврядування щодо попередження та зменшення вживання тютюнових виробів і їх шкідливого впливу на здоров’я населенн</w:t>
      </w:r>
      <w:r w:rsidRPr="00863931">
        <w:rPr>
          <w:sz w:val="28"/>
          <w:szCs w:val="28"/>
        </w:rPr>
        <w:t>я</w:t>
      </w:r>
      <w:r w:rsidR="00F66068">
        <w:rPr>
          <w:sz w:val="28"/>
          <w:szCs w:val="28"/>
        </w:rPr>
        <w:t>.</w:t>
      </w:r>
      <w:r w:rsidRPr="008C1CAB">
        <w:rPr>
          <w:sz w:val="28"/>
          <w:szCs w:val="28"/>
        </w:rPr>
        <w:t xml:space="preserve"> </w:t>
      </w:r>
    </w:p>
    <w:p w14:paraId="367AC79A" w14:textId="430519BA" w:rsidR="00F66068" w:rsidRPr="008C1CAB" w:rsidRDefault="00F66068" w:rsidP="00F66068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 xml:space="preserve">План заходів </w:t>
      </w:r>
      <w:r w:rsidR="00F6462E" w:rsidRPr="00863931">
        <w:rPr>
          <w:sz w:val="28"/>
          <w:szCs w:val="28"/>
        </w:rPr>
        <w:t xml:space="preserve">щодо реалізації Стратегії з контролю над тютюном у Львівській області на 2023 – 2026 роки </w:t>
      </w:r>
      <w:r w:rsidR="007448DC" w:rsidRPr="00863931">
        <w:rPr>
          <w:sz w:val="28"/>
          <w:szCs w:val="28"/>
        </w:rPr>
        <w:t>(далі – План заходів)</w:t>
      </w:r>
      <w:r w:rsidR="007448DC"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 xml:space="preserve">розроблений </w:t>
      </w:r>
      <w:r w:rsidR="00F1067F" w:rsidRPr="00863931">
        <w:rPr>
          <w:sz w:val="28"/>
          <w:szCs w:val="28"/>
        </w:rPr>
        <w:t>відповідно</w:t>
      </w:r>
      <w:r w:rsidRPr="008C1CAB">
        <w:rPr>
          <w:sz w:val="28"/>
          <w:szCs w:val="28"/>
        </w:rPr>
        <w:t xml:space="preserve"> до Указу Президента України від 30 вересня 2019 року</w:t>
      </w:r>
      <w:r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>№ 722/2019 «Про цілі сталого розвитку України на період до 2030 року» та спрямований на зменшення поширеності куріння.</w:t>
      </w:r>
    </w:p>
    <w:p w14:paraId="0A77F190" w14:textId="6288AD45" w:rsidR="00F66068" w:rsidRPr="008C1CAB" w:rsidRDefault="00F66068" w:rsidP="00F66068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Підпункт 3 пункту 1 «Цілей сталого розвитку України» передбачає забезпечення здорового способу життя та сприяння благополуччю для всіх в будь-якому віці, а підпункт 3.8</w:t>
      </w:r>
      <w:r w:rsidR="007448DC">
        <w:rPr>
          <w:sz w:val="28"/>
          <w:szCs w:val="28"/>
        </w:rPr>
        <w:t xml:space="preserve"> </w:t>
      </w:r>
      <w:r w:rsidRPr="008C1CAB">
        <w:rPr>
          <w:sz w:val="28"/>
          <w:szCs w:val="28"/>
        </w:rPr>
        <w:t>Національної доповіді «Цілей сталого розвитку України» передбачає активізацію імплементації «Рамкової конвенції Всесвітньої організації охорони здоров’я із боротьби проти тютюну».</w:t>
      </w:r>
    </w:p>
    <w:p w14:paraId="7DF5AD4A" w14:textId="1F1886AF" w:rsidR="009F3AA7" w:rsidRPr="008C1CAB" w:rsidRDefault="009F3AA7" w:rsidP="0051291B">
      <w:pPr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 xml:space="preserve">Завдання </w:t>
      </w:r>
      <w:r w:rsidR="00B20199" w:rsidRPr="00863931">
        <w:rPr>
          <w:sz w:val="28"/>
          <w:szCs w:val="28"/>
        </w:rPr>
        <w:t>П</w:t>
      </w:r>
      <w:r w:rsidRPr="008C1CAB">
        <w:rPr>
          <w:sz w:val="28"/>
          <w:szCs w:val="28"/>
        </w:rPr>
        <w:t xml:space="preserve">лану заходів Стратегії відповідають виконанню </w:t>
      </w:r>
      <w:r w:rsidR="000B0A01" w:rsidRPr="00E963EF">
        <w:rPr>
          <w:bCs/>
          <w:sz w:val="28"/>
          <w:szCs w:val="28"/>
        </w:rPr>
        <w:t>«Рамкової конвенції Всесвітньої організації охорони здоров’я із боротьби проти тютюну»</w:t>
      </w:r>
      <w:r w:rsidR="00B20199">
        <w:rPr>
          <w:bCs/>
          <w:sz w:val="28"/>
          <w:szCs w:val="28"/>
        </w:rPr>
        <w:t>, а саме</w:t>
      </w:r>
      <w:r w:rsidR="000B0A01" w:rsidRPr="00E963EF">
        <w:rPr>
          <w:bCs/>
          <w:sz w:val="28"/>
          <w:szCs w:val="28"/>
        </w:rPr>
        <w:t>:</w:t>
      </w:r>
    </w:p>
    <w:p w14:paraId="5505E1FF" w14:textId="77777777" w:rsidR="000B0A01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</w:t>
      </w:r>
      <w:r w:rsidR="000B0A01" w:rsidRPr="008C1CAB">
        <w:rPr>
          <w:sz w:val="28"/>
          <w:szCs w:val="28"/>
        </w:rPr>
        <w:t xml:space="preserve">татті 5 «Загальні </w:t>
      </w:r>
      <w:r w:rsidRPr="008C1CAB">
        <w:rPr>
          <w:sz w:val="28"/>
          <w:szCs w:val="28"/>
        </w:rPr>
        <w:t>зобов’язання»;</w:t>
      </w:r>
    </w:p>
    <w:p w14:paraId="5DBBE60D" w14:textId="0AF3A1F2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8 «Захист від впливу тютюнового диму»;</w:t>
      </w:r>
    </w:p>
    <w:p w14:paraId="0C756894" w14:textId="2EDBF048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12 «Освіта, передача інформації, підготовка та інформування  населення»;</w:t>
      </w:r>
    </w:p>
    <w:p w14:paraId="0F399FCE" w14:textId="469DC502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13 «Реклама, стимулювання  та спонсорство тютюнових виробів»;</w:t>
      </w:r>
    </w:p>
    <w:p w14:paraId="30B4517E" w14:textId="75353D81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14 «Заходи зі скорочення попиту, які стосуються тютюнової залежності й припинення вживання тютюну»;</w:t>
      </w:r>
    </w:p>
    <w:p w14:paraId="10A71655" w14:textId="16858543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15 «Незаконна торгівля тютюновими виробами»;</w:t>
      </w:r>
    </w:p>
    <w:p w14:paraId="75108042" w14:textId="702D7749" w:rsidR="00B46176" w:rsidRPr="008C1CAB" w:rsidRDefault="00B46176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16 «Продаж неповнолітніми і неповнолітнім»;</w:t>
      </w:r>
    </w:p>
    <w:p w14:paraId="15156BD3" w14:textId="2D9BC92D" w:rsidR="00310BBC" w:rsidRDefault="00310BBC" w:rsidP="0051291B">
      <w:pPr>
        <w:tabs>
          <w:tab w:val="left" w:pos="2796"/>
        </w:tabs>
        <w:ind w:firstLine="567"/>
        <w:rPr>
          <w:sz w:val="28"/>
          <w:szCs w:val="28"/>
        </w:rPr>
      </w:pPr>
      <w:r w:rsidRPr="008C1CAB">
        <w:rPr>
          <w:sz w:val="28"/>
          <w:szCs w:val="28"/>
        </w:rPr>
        <w:t>статті 16 «Фінансові ресурси».</w:t>
      </w:r>
    </w:p>
    <w:p w14:paraId="4C8188F5" w14:textId="206FEF08" w:rsidR="003F0B31" w:rsidRDefault="003F0B31" w:rsidP="0051291B">
      <w:pPr>
        <w:tabs>
          <w:tab w:val="left" w:pos="2796"/>
        </w:tabs>
        <w:ind w:firstLine="567"/>
        <w:rPr>
          <w:sz w:val="28"/>
          <w:szCs w:val="28"/>
        </w:rPr>
      </w:pPr>
    </w:p>
    <w:p w14:paraId="7CC0CD41" w14:textId="791FB7C2" w:rsidR="003F0B31" w:rsidRDefault="003F0B31" w:rsidP="0051291B">
      <w:pPr>
        <w:tabs>
          <w:tab w:val="left" w:pos="2796"/>
        </w:tabs>
        <w:ind w:firstLine="567"/>
        <w:rPr>
          <w:sz w:val="28"/>
          <w:szCs w:val="28"/>
        </w:rPr>
      </w:pPr>
    </w:p>
    <w:p w14:paraId="50D98643" w14:textId="77777777" w:rsidR="00F96EA7" w:rsidRPr="008C1CAB" w:rsidRDefault="00F96EA7" w:rsidP="0051291B">
      <w:pPr>
        <w:tabs>
          <w:tab w:val="left" w:pos="2796"/>
        </w:tabs>
        <w:ind w:firstLine="567"/>
        <w:rPr>
          <w:sz w:val="28"/>
          <w:szCs w:val="28"/>
        </w:rPr>
      </w:pPr>
    </w:p>
    <w:p w14:paraId="71D63D44" w14:textId="2C8821C7" w:rsidR="006C53BC" w:rsidRPr="008C1CAB" w:rsidRDefault="008D53E7" w:rsidP="007B772D">
      <w:pPr>
        <w:tabs>
          <w:tab w:val="left" w:pos="2796"/>
        </w:tabs>
        <w:jc w:val="center"/>
        <w:rPr>
          <w:b/>
          <w:bCs/>
          <w:sz w:val="28"/>
          <w:szCs w:val="28"/>
        </w:rPr>
      </w:pPr>
      <w:r w:rsidRPr="008C1CAB">
        <w:rPr>
          <w:b/>
          <w:bCs/>
          <w:sz w:val="28"/>
          <w:szCs w:val="28"/>
        </w:rPr>
        <w:lastRenderedPageBreak/>
        <w:t>Ситуація з поширеністю тютюно</w:t>
      </w:r>
      <w:r w:rsidR="00E963EF" w:rsidRPr="00863931">
        <w:rPr>
          <w:b/>
          <w:bCs/>
          <w:sz w:val="28"/>
          <w:szCs w:val="28"/>
        </w:rPr>
        <w:t>курі</w:t>
      </w:r>
      <w:r w:rsidRPr="00863931">
        <w:rPr>
          <w:b/>
          <w:bCs/>
          <w:sz w:val="28"/>
          <w:szCs w:val="28"/>
        </w:rPr>
        <w:t>н</w:t>
      </w:r>
      <w:r w:rsidRPr="008C1CAB">
        <w:rPr>
          <w:b/>
          <w:bCs/>
          <w:sz w:val="28"/>
          <w:szCs w:val="28"/>
        </w:rPr>
        <w:t xml:space="preserve">ня </w:t>
      </w:r>
    </w:p>
    <w:p w14:paraId="42F93BB6" w14:textId="62293643" w:rsidR="008D53E7" w:rsidRDefault="008D53E7" w:rsidP="007B772D">
      <w:pPr>
        <w:tabs>
          <w:tab w:val="left" w:pos="2796"/>
        </w:tabs>
        <w:jc w:val="center"/>
        <w:rPr>
          <w:b/>
          <w:bCs/>
          <w:sz w:val="28"/>
          <w:szCs w:val="28"/>
        </w:rPr>
      </w:pPr>
      <w:r w:rsidRPr="008C1CAB">
        <w:rPr>
          <w:b/>
          <w:bCs/>
          <w:sz w:val="28"/>
          <w:szCs w:val="28"/>
        </w:rPr>
        <w:t xml:space="preserve">у Львівській </w:t>
      </w:r>
      <w:r w:rsidR="00BE02BD" w:rsidRPr="008C1CAB">
        <w:rPr>
          <w:b/>
          <w:bCs/>
          <w:sz w:val="28"/>
          <w:szCs w:val="28"/>
        </w:rPr>
        <w:t>області</w:t>
      </w:r>
    </w:p>
    <w:p w14:paraId="621386F9" w14:textId="77777777" w:rsidR="009B3C44" w:rsidRPr="008C1CAB" w:rsidRDefault="009B3C44" w:rsidP="007B772D">
      <w:pPr>
        <w:tabs>
          <w:tab w:val="left" w:pos="2796"/>
        </w:tabs>
        <w:jc w:val="center"/>
        <w:rPr>
          <w:b/>
          <w:bCs/>
          <w:sz w:val="28"/>
          <w:szCs w:val="28"/>
        </w:rPr>
      </w:pPr>
    </w:p>
    <w:p w14:paraId="6E747F12" w14:textId="68488E64" w:rsidR="008F7958" w:rsidRPr="008C1CAB" w:rsidRDefault="007B772D" w:rsidP="0051291B">
      <w:pPr>
        <w:shd w:val="clear" w:color="auto" w:fill="FFFFFF"/>
        <w:ind w:right="-142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За даними Головного управління статистики у Львівській області</w:t>
      </w:r>
      <w:r w:rsidR="00EB3D85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,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</w:t>
      </w:r>
      <w:r w:rsidR="003F0B31" w:rsidRPr="00863931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під час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проведенн</w:t>
      </w:r>
      <w:r w:rsidR="003F0B31" w:rsidRPr="00863931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я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вибіркового опитування домогосподарств у 2020 році серед осіб у віці 12 років і старшому шкідливу звичку </w:t>
      </w:r>
      <w:r w:rsidR="00EB3D85" w:rsidRPr="00863931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курити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мали 367,3 тис. осіб, або 17,3%, населення Львівської області відповідної вікової групи. 36% респондентів зазначають, що вони курять понад 20 років, майже кожний п’ятий курить від 16 до 20 років, серед початківців (тривалість куріння до 1 року) цю шкідливу звичку має 1% осіб.</w:t>
      </w:r>
    </w:p>
    <w:p w14:paraId="063BBA19" w14:textId="77777777" w:rsidR="006C53BC" w:rsidRPr="008C1CAB" w:rsidRDefault="007B772D" w:rsidP="0051291B">
      <w:pPr>
        <w:shd w:val="clear" w:color="auto" w:fill="FFFFFF"/>
        <w:ind w:right="-142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До 5 сигарет за добу викурює 26% курців, до 10 сигарет – 45%, а понад 20 сигарет – 1% респондентів.</w:t>
      </w:r>
    </w:p>
    <w:p w14:paraId="3C5EFB91" w14:textId="41E39770" w:rsidR="008F7958" w:rsidRPr="008C1CAB" w:rsidRDefault="007B772D" w:rsidP="0051291B">
      <w:pPr>
        <w:shd w:val="clear" w:color="auto" w:fill="FFFFFF"/>
        <w:ind w:right="-142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На тютюнові вироби одне домогосподарство в середньому </w:t>
      </w:r>
      <w:r w:rsidR="004B0778" w:rsidRPr="00863931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</w:t>
      </w:r>
      <w:r w:rsidRPr="00863931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а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місяць витрачало 246,3 грн, що становило 2,3% їхніх грошових витрат. Споживчі ціни на тютюнові вироби у грудні 2020 року порівняно з груднем 2010 року зросли у 5,7 </w:t>
      </w:r>
      <w:proofErr w:type="spellStart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раза</w:t>
      </w:r>
      <w:proofErr w:type="spellEnd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, а порівняно з груднем 2019 року тютюнові вироби подорожчали на 20,9%.</w:t>
      </w:r>
    </w:p>
    <w:p w14:paraId="22E5C324" w14:textId="77777777" w:rsidR="007B772D" w:rsidRPr="008C1CAB" w:rsidRDefault="007B772D" w:rsidP="0051291B">
      <w:pPr>
        <w:shd w:val="clear" w:color="auto" w:fill="FFFFFF"/>
        <w:ind w:right="-142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Куріння значною мірою спричиняє розвиток хвороб органів дихання. У 2020 році у Львівській області від злоякісних новоутворень трахеї, бронхів та </w:t>
      </w:r>
      <w:proofErr w:type="spellStart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легенів</w:t>
      </w:r>
      <w:proofErr w:type="spellEnd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померло 613 осіб.</w:t>
      </w:r>
    </w:p>
    <w:p w14:paraId="637C1145" w14:textId="77777777" w:rsidR="006C53BC" w:rsidRPr="009B3C44" w:rsidRDefault="006C53BC" w:rsidP="006C53BC">
      <w:pPr>
        <w:shd w:val="clear" w:color="auto" w:fill="FFFFFF"/>
        <w:ind w:right="-143" w:firstLine="426"/>
        <w:rPr>
          <w:color w:val="000000"/>
          <w:sz w:val="28"/>
          <w:szCs w:val="28"/>
          <w:lang w:eastAsia="uk-UA" w:bidi="he-IL"/>
        </w:rPr>
      </w:pPr>
    </w:p>
    <w:p w14:paraId="29AF7210" w14:textId="222DE81C" w:rsidR="002D0B61" w:rsidRDefault="002D0B61" w:rsidP="008F7958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b/>
          <w:bCs/>
          <w:color w:val="000000"/>
          <w:sz w:val="28"/>
          <w:szCs w:val="28"/>
          <w:lang w:eastAsia="uk-UA" w:bidi="he-IL"/>
        </w:rPr>
        <w:t>Мета, завдання, очікувані результати реалізації Стратегії</w:t>
      </w:r>
    </w:p>
    <w:p w14:paraId="6097EFDE" w14:textId="77777777" w:rsidR="009B3C44" w:rsidRPr="008C1CAB" w:rsidRDefault="009B3C44" w:rsidP="008F7958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lang w:eastAsia="uk-UA" w:bidi="he-IL"/>
        </w:rPr>
      </w:pPr>
    </w:p>
    <w:p w14:paraId="4AB79C2A" w14:textId="53249637" w:rsidR="002D0B61" w:rsidRPr="008C1CAB" w:rsidRDefault="00F27533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Метою цієї Стратегії є створення ефективного механізму</w:t>
      </w:r>
      <w:r w:rsidR="008C1CAB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</w:t>
      </w:r>
      <w:proofErr w:type="spellStart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міжсекто</w:t>
      </w:r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ральної</w:t>
      </w:r>
      <w:proofErr w:type="spellEnd"/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взаємоді</w:t>
      </w:r>
      <w:r w:rsidR="006C53B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ї </w:t>
      </w:r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щодо</w:t>
      </w:r>
      <w:r w:rsidR="008C1CAB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</w:t>
      </w:r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контролю</w:t>
      </w:r>
      <w:r w:rsidR="008C1CAB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</w:t>
      </w:r>
      <w:r w:rsidR="00751F7C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на</w:t>
      </w:r>
      <w:r w:rsidR="008E0CAD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д</w:t>
      </w:r>
      <w:r w:rsidR="008C1CAB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тютюном </w:t>
      </w:r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на обласному рівні та зменшення поширеності тютюно</w:t>
      </w:r>
      <w:r w:rsidR="000053BD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кур</w:t>
      </w:r>
      <w:r w:rsidR="00751F7C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ін</w:t>
      </w:r>
      <w:r w:rsidR="00751F7C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ня серед населення Львівської області.</w:t>
      </w:r>
    </w:p>
    <w:p w14:paraId="00EED49F" w14:textId="77777777" w:rsidR="007B772D" w:rsidRPr="008C1CAB" w:rsidRDefault="007B772D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</w:p>
    <w:p w14:paraId="434F455B" w14:textId="0C8DEBE0" w:rsidR="008E0CAD" w:rsidRDefault="00C25609" w:rsidP="003C62D0">
      <w:pPr>
        <w:shd w:val="clear" w:color="auto" w:fill="FFFFFF"/>
        <w:ind w:firstLine="567"/>
        <w:rPr>
          <w:rFonts w:asciiTheme="majorBidi" w:hAnsiTheme="majorBidi" w:cstheme="majorBidi"/>
          <w:b/>
          <w:bCs/>
          <w:color w:val="000000"/>
          <w:sz w:val="28"/>
          <w:szCs w:val="28"/>
          <w:lang w:eastAsia="uk-UA" w:bidi="he-IL"/>
        </w:rPr>
      </w:pPr>
      <w:r w:rsidRPr="005A10F4">
        <w:rPr>
          <w:rFonts w:asciiTheme="majorBidi" w:hAnsiTheme="majorBidi" w:cstheme="majorBidi"/>
          <w:bCs/>
          <w:color w:val="000000"/>
          <w:sz w:val="28"/>
          <w:szCs w:val="28"/>
          <w:lang w:eastAsia="uk-UA" w:bidi="he-IL"/>
        </w:rPr>
        <w:t>Завдання Стратегі</w:t>
      </w:r>
      <w:r w:rsidR="00B243F1" w:rsidRPr="005A10F4">
        <w:rPr>
          <w:rFonts w:asciiTheme="majorBidi" w:hAnsiTheme="majorBidi" w:cstheme="majorBidi"/>
          <w:bCs/>
          <w:color w:val="000000"/>
          <w:sz w:val="28"/>
          <w:szCs w:val="28"/>
          <w:lang w:eastAsia="uk-UA" w:bidi="he-IL"/>
        </w:rPr>
        <w:t>ї</w:t>
      </w:r>
    </w:p>
    <w:p w14:paraId="1F4A9F5E" w14:textId="07B2E9B6" w:rsidR="008F7958" w:rsidRPr="008C1CAB" w:rsidRDefault="00C25609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1</w:t>
      </w:r>
      <w:r w:rsidR="00885D69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. 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Створення координаційного механізму контролю за дотриманням законодавства у сфері тютюно</w:t>
      </w:r>
      <w:r w:rsidR="0014679E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кур</w:t>
      </w:r>
      <w:r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і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ння.</w:t>
      </w:r>
    </w:p>
    <w:p w14:paraId="0CD09E16" w14:textId="77777777" w:rsidR="00C25609" w:rsidRPr="008C1CAB" w:rsidRDefault="00C25609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2. Посилення заходів з нагляду та контролю за дотриманням чинного антитютюнового законодавства.</w:t>
      </w:r>
    </w:p>
    <w:p w14:paraId="3A4D69AA" w14:textId="5DD569C3" w:rsidR="00C25609" w:rsidRPr="008C1CAB" w:rsidRDefault="00C25609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3. Забезпечення механізму системного проведення інфор</w:t>
      </w:r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маційних кампаній, заходів для 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інформування насел</w:t>
      </w:r>
      <w:r w:rsidR="0014679E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ення та </w:t>
      </w:r>
      <w:proofErr w:type="spellStart"/>
      <w:r w:rsidR="0014679E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медіа</w:t>
      </w:r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заходів</w:t>
      </w:r>
      <w:proofErr w:type="spellEnd"/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з метою 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підвищення рівня обізнаності населення </w:t>
      </w:r>
      <w:r w:rsidR="0014679E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зі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змінами</w:t>
      </w:r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в </w:t>
      </w:r>
      <w:proofErr w:type="spellStart"/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антитютюновому</w:t>
      </w:r>
      <w:proofErr w:type="spellEnd"/>
      <w:r w:rsidR="008F7958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законодавстві,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впливу тютюнових та </w:t>
      </w:r>
      <w:proofErr w:type="spellStart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нікотин</w:t>
      </w:r>
      <w:r w:rsidR="0014679E" w:rsidRPr="0090692C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о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вмісних</w:t>
      </w:r>
      <w:proofErr w:type="spellEnd"/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продуктів та їх замінників на здоров</w:t>
      </w:r>
      <w:r w:rsidR="00D02439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’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я</w:t>
      </w:r>
      <w:r w:rsidR="00D02439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та соціально-економічний добробут людини.</w:t>
      </w:r>
    </w:p>
    <w:p w14:paraId="46DB7706" w14:textId="2E9AEB9E" w:rsidR="00D02439" w:rsidRPr="008C1CAB" w:rsidRDefault="00D02439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4. Сприяння наданн</w:t>
      </w:r>
      <w:r w:rsidR="00B92EE4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ю</w:t>
      </w: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допомоги у відмові від куріння.</w:t>
      </w:r>
    </w:p>
    <w:p w14:paraId="6C71F9F8" w14:textId="48EF69F9" w:rsidR="00EA2FC9" w:rsidRPr="008C1CAB" w:rsidRDefault="00D02439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5. </w:t>
      </w:r>
      <w:r w:rsidR="00114172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Забезпечення реалізації основних напрямів державної політики щодо </w:t>
      </w:r>
      <w:proofErr w:type="spellStart"/>
      <w:r w:rsidR="006855C0" w:rsidRPr="008C1CAB">
        <w:rPr>
          <w:sz w:val="28"/>
          <w:szCs w:val="28"/>
        </w:rPr>
        <w:t>щодо</w:t>
      </w:r>
      <w:proofErr w:type="spellEnd"/>
      <w:r w:rsidR="006855C0" w:rsidRPr="008C1CAB">
        <w:rPr>
          <w:sz w:val="28"/>
          <w:szCs w:val="28"/>
        </w:rPr>
        <w:t xml:space="preserve"> </w:t>
      </w:r>
      <w:r w:rsidR="006855C0" w:rsidRPr="0090692C">
        <w:rPr>
          <w:sz w:val="28"/>
          <w:szCs w:val="28"/>
        </w:rPr>
        <w:t>запобігання тютюнокурінню</w:t>
      </w:r>
      <w:r w:rsidR="006855C0" w:rsidRPr="008C1CAB">
        <w:rPr>
          <w:sz w:val="28"/>
          <w:szCs w:val="28"/>
        </w:rPr>
        <w:t xml:space="preserve">, </w:t>
      </w:r>
      <w:r w:rsidR="00636A56">
        <w:rPr>
          <w:sz w:val="28"/>
          <w:szCs w:val="28"/>
        </w:rPr>
        <w:t>зменш</w:t>
      </w:r>
      <w:r w:rsidR="006855C0" w:rsidRPr="008C1CAB">
        <w:rPr>
          <w:sz w:val="28"/>
          <w:szCs w:val="28"/>
        </w:rPr>
        <w:t xml:space="preserve">ення вживання </w:t>
      </w:r>
      <w:r w:rsidR="006855C0" w:rsidRPr="0090692C">
        <w:rPr>
          <w:sz w:val="28"/>
          <w:szCs w:val="28"/>
        </w:rPr>
        <w:t>тютюнових виробів</w:t>
      </w:r>
      <w:r w:rsidR="006855C0" w:rsidRPr="008C1CAB">
        <w:rPr>
          <w:sz w:val="28"/>
          <w:szCs w:val="28"/>
        </w:rPr>
        <w:t xml:space="preserve"> </w:t>
      </w:r>
      <w:r w:rsidR="00884664" w:rsidRPr="008C1CAB"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і їх шкідливого впливу на здоров’я населення.</w:t>
      </w:r>
    </w:p>
    <w:p w14:paraId="6A9DF5C9" w14:textId="77777777" w:rsidR="001D5E3B" w:rsidRDefault="001D5E3B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</w:p>
    <w:p w14:paraId="75075984" w14:textId="403C7695" w:rsidR="001F6EA6" w:rsidRDefault="001F6EA6" w:rsidP="003C62D0">
      <w:pPr>
        <w:shd w:val="clear" w:color="auto" w:fill="FFFFFF"/>
        <w:ind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Очікувані результати:</w:t>
      </w:r>
    </w:p>
    <w:p w14:paraId="36021E0E" w14:textId="77777777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Зменшення кількості порушень внаслідок посилення контролю за дотриманням чинного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антитютюнового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законодавства.</w:t>
      </w:r>
    </w:p>
    <w:p w14:paraId="0A47D7BB" w14:textId="74CF7DF0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lastRenderedPageBreak/>
        <w:t xml:space="preserve">Підвищення рівня обізнаності населення </w:t>
      </w:r>
      <w:r>
        <w:rPr>
          <w:sz w:val="28"/>
          <w:szCs w:val="28"/>
        </w:rPr>
        <w:t xml:space="preserve">про зміни в </w:t>
      </w:r>
      <w:proofErr w:type="spellStart"/>
      <w:r>
        <w:rPr>
          <w:sz w:val="28"/>
          <w:szCs w:val="28"/>
        </w:rPr>
        <w:t>антитютюновому</w:t>
      </w:r>
      <w:proofErr w:type="spellEnd"/>
      <w:r>
        <w:rPr>
          <w:sz w:val="28"/>
          <w:szCs w:val="28"/>
        </w:rPr>
        <w:t xml:space="preserve"> законодавстві, </w:t>
      </w:r>
      <w:r w:rsidRPr="00164D7B">
        <w:rPr>
          <w:sz w:val="28"/>
          <w:szCs w:val="28"/>
        </w:rPr>
        <w:t>шкод</w:t>
      </w:r>
      <w:r w:rsidR="004F2B06" w:rsidRPr="00164D7B">
        <w:rPr>
          <w:sz w:val="28"/>
          <w:szCs w:val="28"/>
        </w:rPr>
        <w:t>у</w:t>
      </w:r>
      <w:r w:rsidRPr="00164D7B">
        <w:rPr>
          <w:sz w:val="28"/>
          <w:szCs w:val="28"/>
        </w:rPr>
        <w:t xml:space="preserve"> від вживання</w:t>
      </w:r>
      <w:bookmarkStart w:id="0" w:name="_GoBack"/>
      <w:bookmarkEnd w:id="0"/>
      <w:r>
        <w:rPr>
          <w:sz w:val="28"/>
          <w:szCs w:val="28"/>
        </w:rPr>
        <w:t xml:space="preserve"> тютюнових виробів, пристроїв для куріння, небезпечні наслідки впливу вторинного тютюнового диму</w:t>
      </w: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. </w:t>
      </w:r>
    </w:p>
    <w:p w14:paraId="012BCFD8" w14:textId="77777777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Збільшення кількості заходів щодо сприяння наданню допомоги у відмові від куріння шляхом надання кваліфікованої медичної допомоги.</w:t>
      </w:r>
    </w:p>
    <w:p w14:paraId="08D139B5" w14:textId="77777777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Впровадження заходів з діагностики та лікування залежності від тютюну на рівні первинної медико – санітарної допомоги.</w:t>
      </w:r>
    </w:p>
    <w:p w14:paraId="5D9F9CFC" w14:textId="77777777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Збільшення фінансування заходів і робіт, спрямованих на обмеження вживання тютюнових виробів.</w:t>
      </w:r>
    </w:p>
    <w:p w14:paraId="4F5658C8" w14:textId="77777777" w:rsidR="001F6EA6" w:rsidRDefault="001F6EA6" w:rsidP="003C62D0">
      <w:pPr>
        <w:pStyle w:val="a4"/>
        <w:numPr>
          <w:ilvl w:val="0"/>
          <w:numId w:val="2"/>
        </w:numPr>
        <w:shd w:val="clear" w:color="auto" w:fill="FFFFFF"/>
        <w:ind w:left="0" w:firstLine="567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Забезпечення проведення регулярного моніторингу за дотриманням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>антитютюнового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  <w:t xml:space="preserve"> законодавства.</w:t>
      </w:r>
    </w:p>
    <w:p w14:paraId="6B8F824C" w14:textId="0ECE3319" w:rsidR="008C1CAB" w:rsidRDefault="008C1CAB" w:rsidP="008F7958">
      <w:pPr>
        <w:shd w:val="clear" w:color="auto" w:fill="FFFFFF"/>
        <w:ind w:firstLine="708"/>
        <w:rPr>
          <w:rFonts w:asciiTheme="majorBidi" w:hAnsiTheme="majorBidi" w:cstheme="majorBidi"/>
          <w:color w:val="000000"/>
          <w:sz w:val="28"/>
          <w:szCs w:val="28"/>
          <w:lang w:eastAsia="uk-UA" w:bidi="he-IL"/>
        </w:rPr>
      </w:pPr>
    </w:p>
    <w:p w14:paraId="178B0D57" w14:textId="11AA604E" w:rsidR="00DA6129" w:rsidRPr="008E0CAD" w:rsidRDefault="00DA6129" w:rsidP="008F7958">
      <w:pPr>
        <w:shd w:val="clear" w:color="auto" w:fill="FFFFFF"/>
        <w:ind w:firstLine="708"/>
        <w:rPr>
          <w:rFonts w:asciiTheme="majorBidi" w:hAnsiTheme="majorBidi" w:cstheme="majorBidi"/>
          <w:color w:val="FF0000"/>
          <w:sz w:val="28"/>
          <w:szCs w:val="28"/>
          <w:lang w:eastAsia="uk-UA" w:bidi="he-IL"/>
        </w:rPr>
      </w:pPr>
    </w:p>
    <w:p w14:paraId="03B85990" w14:textId="252C8F44" w:rsidR="008D53E7" w:rsidRDefault="008D53E7" w:rsidP="00EA2FC9">
      <w:pPr>
        <w:shd w:val="clear" w:color="auto" w:fill="FFFFFF"/>
        <w:jc w:val="left"/>
        <w:rPr>
          <w:b/>
          <w:sz w:val="28"/>
          <w:szCs w:val="28"/>
        </w:rPr>
      </w:pPr>
    </w:p>
    <w:p w14:paraId="215C6AB6" w14:textId="77777777" w:rsidR="00B8147D" w:rsidRPr="0090692C" w:rsidRDefault="009913AD" w:rsidP="00B8147D">
      <w:pPr>
        <w:ind w:hanging="6"/>
        <w:rPr>
          <w:b/>
          <w:sz w:val="28"/>
          <w:szCs w:val="28"/>
        </w:rPr>
      </w:pPr>
      <w:r w:rsidRPr="0090692C">
        <w:rPr>
          <w:b/>
          <w:sz w:val="28"/>
          <w:szCs w:val="28"/>
        </w:rPr>
        <w:t>Директор департаменту</w:t>
      </w:r>
      <w:r w:rsidR="00B8147D" w:rsidRPr="0090692C">
        <w:rPr>
          <w:b/>
          <w:sz w:val="28"/>
          <w:szCs w:val="28"/>
        </w:rPr>
        <w:t xml:space="preserve"> </w:t>
      </w:r>
      <w:r w:rsidRPr="0090692C">
        <w:rPr>
          <w:b/>
          <w:sz w:val="28"/>
          <w:szCs w:val="28"/>
        </w:rPr>
        <w:t>охорони здоров’я</w:t>
      </w:r>
    </w:p>
    <w:p w14:paraId="3980E14B" w14:textId="7B1C0E11" w:rsidR="009913AD" w:rsidRPr="008C1CAB" w:rsidRDefault="009913AD" w:rsidP="00B8147D">
      <w:pPr>
        <w:ind w:hanging="6"/>
        <w:rPr>
          <w:b/>
          <w:sz w:val="28"/>
          <w:szCs w:val="28"/>
        </w:rPr>
      </w:pPr>
      <w:r w:rsidRPr="0090692C">
        <w:rPr>
          <w:b/>
          <w:sz w:val="28"/>
          <w:szCs w:val="28"/>
        </w:rPr>
        <w:t>обласної державної адміністрації</w:t>
      </w:r>
      <w:r w:rsidR="00B8147D" w:rsidRPr="0090692C">
        <w:rPr>
          <w:b/>
          <w:sz w:val="28"/>
          <w:szCs w:val="28"/>
        </w:rPr>
        <w:tab/>
      </w:r>
      <w:r w:rsidR="00B8147D" w:rsidRPr="0090692C">
        <w:rPr>
          <w:b/>
          <w:sz w:val="28"/>
          <w:szCs w:val="28"/>
        </w:rPr>
        <w:tab/>
      </w:r>
      <w:r w:rsidR="00B8147D" w:rsidRPr="0090692C">
        <w:rPr>
          <w:b/>
          <w:sz w:val="28"/>
          <w:szCs w:val="28"/>
        </w:rPr>
        <w:tab/>
      </w:r>
      <w:r w:rsidR="00B8147D" w:rsidRPr="0090692C">
        <w:rPr>
          <w:b/>
          <w:sz w:val="28"/>
          <w:szCs w:val="28"/>
        </w:rPr>
        <w:tab/>
      </w:r>
      <w:r w:rsidR="00B8147D" w:rsidRPr="0090692C">
        <w:rPr>
          <w:b/>
          <w:sz w:val="28"/>
          <w:szCs w:val="28"/>
        </w:rPr>
        <w:tab/>
        <w:t>Орест ЧЕМЕРИС</w:t>
      </w:r>
    </w:p>
    <w:sectPr w:rsidR="009913AD" w:rsidRPr="008C1CAB" w:rsidSect="005A10F4">
      <w:headerReference w:type="default" r:id="rId9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A0234" w14:textId="77777777" w:rsidR="0069085A" w:rsidRDefault="0069085A" w:rsidP="004E01E3">
      <w:r>
        <w:separator/>
      </w:r>
    </w:p>
  </w:endnote>
  <w:endnote w:type="continuationSeparator" w:id="0">
    <w:p w14:paraId="2B531DBD" w14:textId="77777777" w:rsidR="0069085A" w:rsidRDefault="0069085A" w:rsidP="004E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35DDF" w14:textId="77777777" w:rsidR="0069085A" w:rsidRDefault="0069085A" w:rsidP="004E01E3">
      <w:r>
        <w:separator/>
      </w:r>
    </w:p>
  </w:footnote>
  <w:footnote w:type="continuationSeparator" w:id="0">
    <w:p w14:paraId="5DD8FDD4" w14:textId="77777777" w:rsidR="0069085A" w:rsidRDefault="0069085A" w:rsidP="004E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8921716"/>
      <w:docPartObj>
        <w:docPartGallery w:val="Page Numbers (Top of Page)"/>
        <w:docPartUnique/>
      </w:docPartObj>
    </w:sdtPr>
    <w:sdtEndPr/>
    <w:sdtContent>
      <w:p w14:paraId="5069906D" w14:textId="1F02E897" w:rsidR="004E01E3" w:rsidRDefault="004E01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92C">
          <w:rPr>
            <w:noProof/>
          </w:rPr>
          <w:t>4</w:t>
        </w:r>
        <w:r>
          <w:fldChar w:fldCharType="end"/>
        </w:r>
      </w:p>
    </w:sdtContent>
  </w:sdt>
  <w:p w14:paraId="61CB15DF" w14:textId="77777777" w:rsidR="004E01E3" w:rsidRDefault="004E01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3F6B"/>
    <w:multiLevelType w:val="hybridMultilevel"/>
    <w:tmpl w:val="A12C85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C7F06"/>
    <w:multiLevelType w:val="hybridMultilevel"/>
    <w:tmpl w:val="A3CE9E44"/>
    <w:lvl w:ilvl="0" w:tplc="420E8AAE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44D"/>
    <w:rsid w:val="000053BD"/>
    <w:rsid w:val="00023BB0"/>
    <w:rsid w:val="00033CBF"/>
    <w:rsid w:val="000515F8"/>
    <w:rsid w:val="0007189E"/>
    <w:rsid w:val="00071E12"/>
    <w:rsid w:val="00092285"/>
    <w:rsid w:val="000A3475"/>
    <w:rsid w:val="000A6058"/>
    <w:rsid w:val="000B0A01"/>
    <w:rsid w:val="000E0F54"/>
    <w:rsid w:val="00103FF8"/>
    <w:rsid w:val="00106003"/>
    <w:rsid w:val="001115EE"/>
    <w:rsid w:val="00114172"/>
    <w:rsid w:val="0012368E"/>
    <w:rsid w:val="0012425F"/>
    <w:rsid w:val="0013016D"/>
    <w:rsid w:val="001432CB"/>
    <w:rsid w:val="0014679E"/>
    <w:rsid w:val="001630BC"/>
    <w:rsid w:val="00164D7B"/>
    <w:rsid w:val="00164EE8"/>
    <w:rsid w:val="001A2096"/>
    <w:rsid w:val="001C7CCD"/>
    <w:rsid w:val="001D5E3B"/>
    <w:rsid w:val="001D5EE1"/>
    <w:rsid w:val="001E5957"/>
    <w:rsid w:val="001E5D83"/>
    <w:rsid w:val="001E6A77"/>
    <w:rsid w:val="001F6EA6"/>
    <w:rsid w:val="00212E61"/>
    <w:rsid w:val="00214C05"/>
    <w:rsid w:val="002158AD"/>
    <w:rsid w:val="002221F1"/>
    <w:rsid w:val="00224BD0"/>
    <w:rsid w:val="00245AE8"/>
    <w:rsid w:val="00246CB7"/>
    <w:rsid w:val="00254CD1"/>
    <w:rsid w:val="00257C2E"/>
    <w:rsid w:val="00260F6E"/>
    <w:rsid w:val="00281432"/>
    <w:rsid w:val="002925DC"/>
    <w:rsid w:val="002B7850"/>
    <w:rsid w:val="002B7979"/>
    <w:rsid w:val="002C2710"/>
    <w:rsid w:val="002C567F"/>
    <w:rsid w:val="002C7CDA"/>
    <w:rsid w:val="002D0B61"/>
    <w:rsid w:val="002D4F8A"/>
    <w:rsid w:val="002F615B"/>
    <w:rsid w:val="00303715"/>
    <w:rsid w:val="00305B13"/>
    <w:rsid w:val="00310BBC"/>
    <w:rsid w:val="00323798"/>
    <w:rsid w:val="003258BF"/>
    <w:rsid w:val="0033441D"/>
    <w:rsid w:val="00340865"/>
    <w:rsid w:val="00345160"/>
    <w:rsid w:val="00345295"/>
    <w:rsid w:val="00350A26"/>
    <w:rsid w:val="00356995"/>
    <w:rsid w:val="0036375B"/>
    <w:rsid w:val="00375D68"/>
    <w:rsid w:val="00380DA7"/>
    <w:rsid w:val="003874F6"/>
    <w:rsid w:val="00392ED0"/>
    <w:rsid w:val="003C034A"/>
    <w:rsid w:val="003C62D0"/>
    <w:rsid w:val="003F038D"/>
    <w:rsid w:val="003F0B31"/>
    <w:rsid w:val="003F2091"/>
    <w:rsid w:val="00407732"/>
    <w:rsid w:val="00407DB8"/>
    <w:rsid w:val="004139AA"/>
    <w:rsid w:val="00433627"/>
    <w:rsid w:val="0043744D"/>
    <w:rsid w:val="004413FD"/>
    <w:rsid w:val="004461AA"/>
    <w:rsid w:val="0044739A"/>
    <w:rsid w:val="00453612"/>
    <w:rsid w:val="004641FE"/>
    <w:rsid w:val="004864C7"/>
    <w:rsid w:val="004922E5"/>
    <w:rsid w:val="004B0778"/>
    <w:rsid w:val="004B1168"/>
    <w:rsid w:val="004E01E3"/>
    <w:rsid w:val="004F2B06"/>
    <w:rsid w:val="004F5BED"/>
    <w:rsid w:val="00500C53"/>
    <w:rsid w:val="00510C01"/>
    <w:rsid w:val="0051291B"/>
    <w:rsid w:val="00514E62"/>
    <w:rsid w:val="0053778F"/>
    <w:rsid w:val="00564987"/>
    <w:rsid w:val="00580D4E"/>
    <w:rsid w:val="005870C1"/>
    <w:rsid w:val="00594D37"/>
    <w:rsid w:val="005956DC"/>
    <w:rsid w:val="00595B9E"/>
    <w:rsid w:val="005A02CC"/>
    <w:rsid w:val="005A10F4"/>
    <w:rsid w:val="005A3A64"/>
    <w:rsid w:val="005B100B"/>
    <w:rsid w:val="005B34B4"/>
    <w:rsid w:val="005B4EEE"/>
    <w:rsid w:val="005C25B3"/>
    <w:rsid w:val="005D32F8"/>
    <w:rsid w:val="005D48CB"/>
    <w:rsid w:val="005D7C35"/>
    <w:rsid w:val="00604212"/>
    <w:rsid w:val="006133D3"/>
    <w:rsid w:val="00621F00"/>
    <w:rsid w:val="00631E50"/>
    <w:rsid w:val="006369D7"/>
    <w:rsid w:val="00636A56"/>
    <w:rsid w:val="00641374"/>
    <w:rsid w:val="006506A7"/>
    <w:rsid w:val="0065130F"/>
    <w:rsid w:val="00681898"/>
    <w:rsid w:val="006855C0"/>
    <w:rsid w:val="006874F7"/>
    <w:rsid w:val="0069085A"/>
    <w:rsid w:val="006914A8"/>
    <w:rsid w:val="0069631D"/>
    <w:rsid w:val="006A00D6"/>
    <w:rsid w:val="006A3764"/>
    <w:rsid w:val="006A5C93"/>
    <w:rsid w:val="006B1BC8"/>
    <w:rsid w:val="006C0CCC"/>
    <w:rsid w:val="006C1532"/>
    <w:rsid w:val="006C53BC"/>
    <w:rsid w:val="006E1D4B"/>
    <w:rsid w:val="006F6E81"/>
    <w:rsid w:val="00700623"/>
    <w:rsid w:val="0070392A"/>
    <w:rsid w:val="00714B5E"/>
    <w:rsid w:val="007448DC"/>
    <w:rsid w:val="00744B65"/>
    <w:rsid w:val="00751F7C"/>
    <w:rsid w:val="00752882"/>
    <w:rsid w:val="007543D9"/>
    <w:rsid w:val="00774360"/>
    <w:rsid w:val="00784225"/>
    <w:rsid w:val="00784ACF"/>
    <w:rsid w:val="007B6976"/>
    <w:rsid w:val="007B772D"/>
    <w:rsid w:val="007C115E"/>
    <w:rsid w:val="007E1821"/>
    <w:rsid w:val="00814742"/>
    <w:rsid w:val="0082666F"/>
    <w:rsid w:val="008300BE"/>
    <w:rsid w:val="0083225C"/>
    <w:rsid w:val="008342F6"/>
    <w:rsid w:val="0083494F"/>
    <w:rsid w:val="00863931"/>
    <w:rsid w:val="00864F01"/>
    <w:rsid w:val="00866DFA"/>
    <w:rsid w:val="00882553"/>
    <w:rsid w:val="00882E4A"/>
    <w:rsid w:val="00883EDA"/>
    <w:rsid w:val="00884664"/>
    <w:rsid w:val="00885D69"/>
    <w:rsid w:val="00886904"/>
    <w:rsid w:val="008B4D90"/>
    <w:rsid w:val="008C1CAB"/>
    <w:rsid w:val="008C3811"/>
    <w:rsid w:val="008C7F71"/>
    <w:rsid w:val="008D53E7"/>
    <w:rsid w:val="008E0CAD"/>
    <w:rsid w:val="008E282B"/>
    <w:rsid w:val="008E59DB"/>
    <w:rsid w:val="008F2DC7"/>
    <w:rsid w:val="008F7958"/>
    <w:rsid w:val="0090692C"/>
    <w:rsid w:val="00911AF3"/>
    <w:rsid w:val="0091748A"/>
    <w:rsid w:val="00921C79"/>
    <w:rsid w:val="00930F34"/>
    <w:rsid w:val="0093615F"/>
    <w:rsid w:val="00936ABB"/>
    <w:rsid w:val="00942C67"/>
    <w:rsid w:val="0095240E"/>
    <w:rsid w:val="009544C9"/>
    <w:rsid w:val="009912B0"/>
    <w:rsid w:val="009913AD"/>
    <w:rsid w:val="009B3856"/>
    <w:rsid w:val="009B3C44"/>
    <w:rsid w:val="009C2DE9"/>
    <w:rsid w:val="009D6D78"/>
    <w:rsid w:val="009F192D"/>
    <w:rsid w:val="009F3AA7"/>
    <w:rsid w:val="009F68D9"/>
    <w:rsid w:val="00A0261D"/>
    <w:rsid w:val="00A068AF"/>
    <w:rsid w:val="00A12A6B"/>
    <w:rsid w:val="00A15915"/>
    <w:rsid w:val="00A54E15"/>
    <w:rsid w:val="00A9449A"/>
    <w:rsid w:val="00AB1FBB"/>
    <w:rsid w:val="00AC2BD4"/>
    <w:rsid w:val="00AD38B1"/>
    <w:rsid w:val="00AD4FCB"/>
    <w:rsid w:val="00AE6D8C"/>
    <w:rsid w:val="00AF296C"/>
    <w:rsid w:val="00AF3EC9"/>
    <w:rsid w:val="00AF6ABF"/>
    <w:rsid w:val="00B1465A"/>
    <w:rsid w:val="00B20199"/>
    <w:rsid w:val="00B243F1"/>
    <w:rsid w:val="00B2582D"/>
    <w:rsid w:val="00B46176"/>
    <w:rsid w:val="00B46FAF"/>
    <w:rsid w:val="00B53EB3"/>
    <w:rsid w:val="00B614B0"/>
    <w:rsid w:val="00B8147D"/>
    <w:rsid w:val="00B84B1B"/>
    <w:rsid w:val="00B910FE"/>
    <w:rsid w:val="00B92EE4"/>
    <w:rsid w:val="00B93BBE"/>
    <w:rsid w:val="00BC65FD"/>
    <w:rsid w:val="00BD4FC5"/>
    <w:rsid w:val="00BD7703"/>
    <w:rsid w:val="00BE02BD"/>
    <w:rsid w:val="00C25609"/>
    <w:rsid w:val="00C25FC1"/>
    <w:rsid w:val="00C523EF"/>
    <w:rsid w:val="00C56E15"/>
    <w:rsid w:val="00C66876"/>
    <w:rsid w:val="00C77E6E"/>
    <w:rsid w:val="00C906D5"/>
    <w:rsid w:val="00CA1408"/>
    <w:rsid w:val="00CC4005"/>
    <w:rsid w:val="00CC73DE"/>
    <w:rsid w:val="00CF0E9A"/>
    <w:rsid w:val="00CF2BF1"/>
    <w:rsid w:val="00D02439"/>
    <w:rsid w:val="00D05A17"/>
    <w:rsid w:val="00D17721"/>
    <w:rsid w:val="00D21AFA"/>
    <w:rsid w:val="00D364E1"/>
    <w:rsid w:val="00D46B97"/>
    <w:rsid w:val="00D51C34"/>
    <w:rsid w:val="00DA6129"/>
    <w:rsid w:val="00DB53F1"/>
    <w:rsid w:val="00DB63ED"/>
    <w:rsid w:val="00DB64EB"/>
    <w:rsid w:val="00DC53B3"/>
    <w:rsid w:val="00DD1CE9"/>
    <w:rsid w:val="00DE7CBC"/>
    <w:rsid w:val="00DF55BC"/>
    <w:rsid w:val="00E05C7C"/>
    <w:rsid w:val="00E27A1E"/>
    <w:rsid w:val="00E303A9"/>
    <w:rsid w:val="00E35BF4"/>
    <w:rsid w:val="00E40373"/>
    <w:rsid w:val="00E46E1B"/>
    <w:rsid w:val="00E509AA"/>
    <w:rsid w:val="00E70EF6"/>
    <w:rsid w:val="00E72333"/>
    <w:rsid w:val="00E824D5"/>
    <w:rsid w:val="00E82E18"/>
    <w:rsid w:val="00E8749F"/>
    <w:rsid w:val="00E963EF"/>
    <w:rsid w:val="00EA2C8A"/>
    <w:rsid w:val="00EA2FC9"/>
    <w:rsid w:val="00EA3732"/>
    <w:rsid w:val="00EA5606"/>
    <w:rsid w:val="00EB3D85"/>
    <w:rsid w:val="00EB48D7"/>
    <w:rsid w:val="00EE309C"/>
    <w:rsid w:val="00F1067F"/>
    <w:rsid w:val="00F1763A"/>
    <w:rsid w:val="00F17D8D"/>
    <w:rsid w:val="00F202EC"/>
    <w:rsid w:val="00F27533"/>
    <w:rsid w:val="00F37022"/>
    <w:rsid w:val="00F617BF"/>
    <w:rsid w:val="00F6462E"/>
    <w:rsid w:val="00F66068"/>
    <w:rsid w:val="00F679AE"/>
    <w:rsid w:val="00F76E01"/>
    <w:rsid w:val="00F96EA7"/>
    <w:rsid w:val="00FB79CF"/>
    <w:rsid w:val="00FC197D"/>
    <w:rsid w:val="00FD5960"/>
    <w:rsid w:val="00FE0769"/>
    <w:rsid w:val="00FE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B388"/>
  <w15:docId w15:val="{BF910A86-482A-4184-8319-3FA59678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F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74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06003"/>
    <w:pPr>
      <w:ind w:left="720"/>
      <w:contextualSpacing/>
    </w:pPr>
  </w:style>
  <w:style w:type="character" w:customStyle="1" w:styleId="usual">
    <w:name w:val="usual"/>
    <w:basedOn w:val="a0"/>
    <w:rsid w:val="00B614B0"/>
  </w:style>
  <w:style w:type="character" w:styleId="a5">
    <w:name w:val="Strong"/>
    <w:basedOn w:val="a0"/>
    <w:uiPriority w:val="22"/>
    <w:qFormat/>
    <w:rsid w:val="00023BB0"/>
    <w:rPr>
      <w:b/>
      <w:bCs/>
    </w:rPr>
  </w:style>
  <w:style w:type="paragraph" w:styleId="a6">
    <w:name w:val="header"/>
    <w:basedOn w:val="a"/>
    <w:link w:val="a7"/>
    <w:uiPriority w:val="99"/>
    <w:unhideWhenUsed/>
    <w:rsid w:val="004E01E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E01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E01E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E01E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is.com.ua/?lang=ukr&amp;cat=reports&amp;id=1121&amp;page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B4A97-CCE9-48CB-ADB2-5D6C6B0B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5259</Words>
  <Characters>2998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OksanaSoluk</dc:creator>
  <cp:lastModifiedBy>Марія Верес</cp:lastModifiedBy>
  <cp:revision>2</cp:revision>
  <cp:lastPrinted>2023-03-14T14:17:00Z</cp:lastPrinted>
  <dcterms:created xsi:type="dcterms:W3CDTF">2023-04-06T08:27:00Z</dcterms:created>
  <dcterms:modified xsi:type="dcterms:W3CDTF">2023-04-06T08:27:00Z</dcterms:modified>
</cp:coreProperties>
</file>