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2" w:type="pct"/>
        <w:tblLayout w:type="fixed"/>
        <w:tblLook w:val="00A0" w:firstRow="1" w:lastRow="0" w:firstColumn="1" w:lastColumn="0" w:noHBand="0" w:noVBand="0"/>
      </w:tblPr>
      <w:tblGrid>
        <w:gridCol w:w="1008"/>
        <w:gridCol w:w="7803"/>
        <w:gridCol w:w="3210"/>
        <w:gridCol w:w="2340"/>
        <w:gridCol w:w="46"/>
      </w:tblGrid>
      <w:tr w:rsidR="001E2CDB" w:rsidRPr="006A653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1070" w:rsidRPr="006A6533" w:rsidRDefault="005E1070" w:rsidP="0039550B">
            <w:pPr>
              <w:pStyle w:val="a7"/>
              <w:spacing w:line="276" w:lineRule="auto"/>
              <w:ind w:left="9923"/>
              <w:jc w:val="both"/>
              <w:rPr>
                <w:b w:val="0"/>
                <w:szCs w:val="28"/>
              </w:rPr>
            </w:pPr>
            <w:bookmarkStart w:id="0" w:name="_GoBack"/>
            <w:bookmarkEnd w:id="0"/>
            <w:r w:rsidRPr="006A6533">
              <w:rPr>
                <w:b w:val="0"/>
                <w:szCs w:val="28"/>
              </w:rPr>
              <w:t>ЗАТВЕРДЖЕНО</w:t>
            </w:r>
          </w:p>
          <w:p w:rsidR="00B70B74" w:rsidRPr="006A6533" w:rsidRDefault="005E1070" w:rsidP="0039550B">
            <w:pPr>
              <w:pStyle w:val="a7"/>
              <w:spacing w:line="276" w:lineRule="auto"/>
              <w:ind w:left="9923"/>
              <w:jc w:val="both"/>
              <w:rPr>
                <w:b w:val="0"/>
                <w:szCs w:val="28"/>
              </w:rPr>
            </w:pPr>
            <w:r w:rsidRPr="006A6533">
              <w:rPr>
                <w:b w:val="0"/>
                <w:szCs w:val="28"/>
              </w:rPr>
              <w:t>Розпорядження</w:t>
            </w:r>
            <w:r w:rsidR="00B70B74" w:rsidRPr="006A6533">
              <w:rPr>
                <w:b w:val="0"/>
                <w:szCs w:val="28"/>
              </w:rPr>
              <w:t xml:space="preserve"> </w:t>
            </w:r>
            <w:r w:rsidR="00EB6AB1">
              <w:rPr>
                <w:b w:val="0"/>
                <w:szCs w:val="28"/>
              </w:rPr>
              <w:t>начальника</w:t>
            </w:r>
          </w:p>
          <w:p w:rsidR="005E1070" w:rsidRPr="006A6533" w:rsidRDefault="0039550B" w:rsidP="0039550B">
            <w:pPr>
              <w:pStyle w:val="a7"/>
              <w:spacing w:line="276" w:lineRule="auto"/>
              <w:ind w:left="9923"/>
              <w:jc w:val="both"/>
              <w:rPr>
                <w:b w:val="0"/>
                <w:szCs w:val="28"/>
              </w:rPr>
            </w:pPr>
            <w:r w:rsidRPr="006A6533">
              <w:rPr>
                <w:b w:val="0"/>
                <w:szCs w:val="28"/>
              </w:rPr>
              <w:t>о</w:t>
            </w:r>
            <w:r w:rsidR="005E1070" w:rsidRPr="006A6533">
              <w:rPr>
                <w:b w:val="0"/>
                <w:szCs w:val="28"/>
              </w:rPr>
              <w:t>бл</w:t>
            </w:r>
            <w:r w:rsidRPr="006A6533">
              <w:rPr>
                <w:b w:val="0"/>
                <w:szCs w:val="28"/>
              </w:rPr>
              <w:t xml:space="preserve">асної </w:t>
            </w:r>
            <w:r w:rsidR="00EB6AB1">
              <w:rPr>
                <w:b w:val="0"/>
                <w:szCs w:val="28"/>
              </w:rPr>
              <w:t>військов</w:t>
            </w:r>
            <w:r w:rsidRPr="006A6533">
              <w:rPr>
                <w:b w:val="0"/>
                <w:szCs w:val="28"/>
              </w:rPr>
              <w:t xml:space="preserve">ої </w:t>
            </w:r>
            <w:r w:rsidR="005E1070" w:rsidRPr="006A6533">
              <w:rPr>
                <w:b w:val="0"/>
                <w:szCs w:val="28"/>
              </w:rPr>
              <w:t>адміністрації</w:t>
            </w:r>
          </w:p>
          <w:p w:rsidR="005E1070" w:rsidRPr="006A6533" w:rsidRDefault="00541927" w:rsidP="0039550B">
            <w:pPr>
              <w:pStyle w:val="a7"/>
              <w:tabs>
                <w:tab w:val="left" w:pos="14067"/>
              </w:tabs>
              <w:spacing w:line="276" w:lineRule="auto"/>
              <w:ind w:left="9923" w:right="33"/>
              <w:jc w:val="both"/>
              <w:rPr>
                <w:b w:val="0"/>
                <w:szCs w:val="28"/>
              </w:rPr>
            </w:pPr>
            <w:r w:rsidRPr="006A6533">
              <w:rPr>
                <w:b w:val="0"/>
                <w:szCs w:val="28"/>
              </w:rPr>
              <w:t>___</w:t>
            </w:r>
            <w:r w:rsidR="0039550B" w:rsidRPr="006A6533">
              <w:rPr>
                <w:b w:val="0"/>
                <w:szCs w:val="28"/>
              </w:rPr>
              <w:t>_</w:t>
            </w:r>
            <w:r w:rsidRPr="006A6533">
              <w:rPr>
                <w:b w:val="0"/>
                <w:szCs w:val="28"/>
              </w:rPr>
              <w:t>_________</w:t>
            </w:r>
            <w:r w:rsidR="000A267A" w:rsidRPr="006A6533">
              <w:rPr>
                <w:b w:val="0"/>
                <w:szCs w:val="28"/>
              </w:rPr>
              <w:t xml:space="preserve">№ </w:t>
            </w:r>
            <w:r w:rsidRPr="006A6533">
              <w:rPr>
                <w:b w:val="0"/>
                <w:szCs w:val="28"/>
              </w:rPr>
              <w:t>_____</w:t>
            </w:r>
            <w:r w:rsidR="000A267A" w:rsidRPr="006A6533">
              <w:rPr>
                <w:b w:val="0"/>
                <w:szCs w:val="28"/>
              </w:rPr>
              <w:t>_</w:t>
            </w:r>
            <w:r w:rsidR="0039550B" w:rsidRPr="006A6533">
              <w:rPr>
                <w:b w:val="0"/>
                <w:szCs w:val="28"/>
              </w:rPr>
              <w:t>___</w:t>
            </w:r>
            <w:r w:rsidR="000A267A" w:rsidRPr="006A6533">
              <w:rPr>
                <w:b w:val="0"/>
                <w:szCs w:val="28"/>
              </w:rPr>
              <w:t>_</w:t>
            </w:r>
            <w:r w:rsidRPr="006A6533">
              <w:rPr>
                <w:b w:val="0"/>
                <w:szCs w:val="28"/>
              </w:rPr>
              <w:t>___</w:t>
            </w:r>
          </w:p>
          <w:p w:rsidR="001E2CDB" w:rsidRPr="006A6533" w:rsidRDefault="001E2CDB" w:rsidP="006015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465843" w:rsidRPr="006A653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843" w:rsidRPr="008F5AC9" w:rsidRDefault="008F5AC9" w:rsidP="000A267A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План заходів</w:t>
            </w:r>
          </w:p>
          <w:p w:rsidR="000A267A" w:rsidRPr="006A6533" w:rsidRDefault="008F5AC9" w:rsidP="001B6189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з </w:t>
            </w:r>
            <w:r w:rsidR="00842739"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проходження бюджетного процесу у </w:t>
            </w:r>
            <w:r w:rsidR="004F60AC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2024 році для формування показників на </w:t>
            </w:r>
            <w:r w:rsidR="00842739"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202</w:t>
            </w:r>
            <w:r w:rsidR="00EB6AB1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5</w:t>
            </w:r>
            <w:r w:rsidR="00842739"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4F60AC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– 2027 </w:t>
            </w:r>
            <w:r w:rsidR="00842739"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ро</w:t>
            </w:r>
            <w:r w:rsidR="004F60AC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ки</w:t>
            </w:r>
          </w:p>
        </w:tc>
      </w:tr>
      <w:tr w:rsidR="00465843" w:rsidRPr="006A6533">
        <w:trPr>
          <w:trHeight w:val="255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843" w:rsidRPr="006A6533" w:rsidRDefault="00465843" w:rsidP="006015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70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843" w:rsidRPr="006A6533" w:rsidRDefault="00465843" w:rsidP="00601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843" w:rsidRPr="006A6533" w:rsidRDefault="00465843" w:rsidP="00601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2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843" w:rsidRPr="006A6533" w:rsidRDefault="00465843" w:rsidP="00601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65843" w:rsidRPr="006A6533">
        <w:trPr>
          <w:trHeight w:val="25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843" w:rsidRPr="006A6533" w:rsidRDefault="00465843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843" w:rsidRPr="006A6533" w:rsidRDefault="00465843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843" w:rsidRPr="006A6533" w:rsidRDefault="00465843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Відповідальні виконавці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843" w:rsidRPr="006A6533" w:rsidRDefault="00465843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Термін виконання</w:t>
            </w:r>
          </w:p>
        </w:tc>
      </w:tr>
      <w:tr w:rsidR="00465843" w:rsidRPr="006A6533">
        <w:trPr>
          <w:trHeight w:val="25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843" w:rsidRPr="006A6533" w:rsidRDefault="00465843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843" w:rsidRPr="006A6533" w:rsidRDefault="00465843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843" w:rsidRPr="006A6533" w:rsidRDefault="00465843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8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843" w:rsidRPr="006A6533" w:rsidRDefault="00465843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</w:tr>
      <w:tr w:rsidR="00233E4A" w:rsidRPr="006A6533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3E4A" w:rsidRPr="006A6533" w:rsidRDefault="00AB1127" w:rsidP="00D50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233E4A"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. Складання прогнозу обласного бюджету на </w:t>
            </w:r>
            <w:r w:rsidR="00233E4A" w:rsidRPr="00EF5031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202</w:t>
            </w:r>
            <w:r w:rsidR="009A7E79" w:rsidRPr="00EF5031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5</w:t>
            </w:r>
            <w:r w:rsidR="00233E4A" w:rsidRPr="00EF5031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-202</w:t>
            </w:r>
            <w:r w:rsidR="009A7E79" w:rsidRPr="00EF5031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7</w:t>
            </w:r>
            <w:r w:rsidR="00233E4A"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роки:</w:t>
            </w:r>
          </w:p>
        </w:tc>
      </w:tr>
      <w:tr w:rsidR="00233E4A" w:rsidRPr="006A6533">
        <w:trPr>
          <w:trHeight w:val="102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3E4A" w:rsidRPr="00EF5031" w:rsidRDefault="00AB1127" w:rsidP="006E3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  <w:r w:rsidR="00B02AB9"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 w:rsidR="00233E4A"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3E4A" w:rsidRPr="006A6533" w:rsidRDefault="00233E4A" w:rsidP="00745E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Підготовка та подання пропозицій </w:t>
            </w:r>
            <w:r w:rsidR="00EC15E0">
              <w:rPr>
                <w:rFonts w:ascii="Times New Roman" w:hAnsi="Times New Roman"/>
                <w:sz w:val="28"/>
                <w:szCs w:val="28"/>
              </w:rPr>
              <w:t xml:space="preserve">центральним органам влади 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щодо внесення змін до чинного 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податкового та бюджетного законодавства, інших нормативних актів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79" w:rsidRPr="006A6533" w:rsidRDefault="008C6479" w:rsidP="008C64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Головне управління ДПС у Львівській області,</w:t>
            </w:r>
          </w:p>
          <w:p w:rsidR="008C6479" w:rsidRPr="006A6533" w:rsidRDefault="008C6479" w:rsidP="008C64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Західне міжрегіональне управління ДПС</w:t>
            </w:r>
          </w:p>
          <w:p w:rsidR="008C6479" w:rsidRPr="006A6533" w:rsidRDefault="008C6479" w:rsidP="008C64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по роботі з великими платниками податків,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головні розпорядники коштів обласного бюджету, 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  <w:p w:rsidR="00233E4A" w:rsidRPr="006A6533" w:rsidRDefault="00233E4A" w:rsidP="00B257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E79" w:rsidRDefault="009A7E79" w:rsidP="00AD0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9A7E79" w:rsidRDefault="009A7E79" w:rsidP="00AD0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76676C" w:rsidRDefault="00971D03" w:rsidP="00AD0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01 липня </w:t>
            </w:r>
          </w:p>
          <w:p w:rsidR="00233E4A" w:rsidRPr="00EF5031" w:rsidRDefault="009A7E79" w:rsidP="00AD0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233E4A" w:rsidRPr="006A6533">
        <w:trPr>
          <w:gridAfter w:val="1"/>
          <w:wAfter w:w="16" w:type="pct"/>
          <w:trHeight w:val="8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3E4A" w:rsidRPr="00EF5031" w:rsidRDefault="00AB1127" w:rsidP="00DA20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EF5031">
              <w:rPr>
                <w:sz w:val="28"/>
                <w:szCs w:val="28"/>
              </w:rPr>
              <w:t>1</w:t>
            </w:r>
            <w:r w:rsidR="00B02AB9" w:rsidRPr="00EF5031">
              <w:rPr>
                <w:sz w:val="28"/>
                <w:szCs w:val="28"/>
              </w:rPr>
              <w:t>.</w:t>
            </w:r>
            <w:r w:rsidR="00233E4A" w:rsidRPr="00EF5031">
              <w:rPr>
                <w:sz w:val="28"/>
                <w:szCs w:val="28"/>
              </w:rPr>
              <w:t>2.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A" w:rsidRPr="006A6533" w:rsidRDefault="00233E4A" w:rsidP="000C55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Подання департаменту фінансів облдержадміністрації основних прогнозних показників соціально-економічного розвитку Львівської області на 202</w:t>
            </w:r>
            <w:r w:rsidR="009A7E79"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-202</w:t>
            </w:r>
            <w:r w:rsidR="009A7E79"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A" w:rsidRPr="006A6533" w:rsidRDefault="00233E4A" w:rsidP="000C55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Департамент економічної політики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3E4A" w:rsidRPr="006A6533" w:rsidRDefault="00E752C2" w:rsidP="000C55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Д</w:t>
            </w:r>
            <w:r w:rsidR="00233E4A"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01 липня </w:t>
            </w:r>
          </w:p>
          <w:p w:rsidR="00233E4A" w:rsidRPr="006A6533" w:rsidRDefault="00233E4A" w:rsidP="000C55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 w:rsidR="009A7E79"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A5155A" w:rsidRPr="006A6533">
        <w:trPr>
          <w:gridAfter w:val="1"/>
          <w:wAfter w:w="16" w:type="pct"/>
          <w:trHeight w:val="8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1.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6A6533" w:rsidRDefault="00A5155A" w:rsidP="00CF1D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Роз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рахунок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і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 подання департаменту фінансів облдержадміністрації прогнозних надходжень до місцевих бюджетів області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зокрема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 до обласного бюджету у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  роках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 розрізі податків і платежів, що контролюються податковими органами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6A6533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Головне управління ДПС у Львівській області, Західне міжрегіональне управління ДПС</w:t>
            </w:r>
          </w:p>
          <w:p w:rsidR="00A5155A" w:rsidRPr="006A6533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по роботі з великими платниками податків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F5AC9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5A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05 липня </w:t>
            </w:r>
          </w:p>
          <w:p w:rsidR="00A5155A" w:rsidRPr="008F5AC9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5AC9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gridAfter w:val="1"/>
          <w:wAfter w:w="16" w:type="pct"/>
          <w:trHeight w:val="8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6A6533" w:rsidRDefault="00A5155A" w:rsidP="005632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Подання департаменту фінансів облдержадміністрації прогнозу надходження до обласного бюджету у 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роках коштів від відчуження майна, що перебуває в комунальній власності, від орендної плати за користування майном, що перебуває в комунальній власності, та частини чистого прибутку (доходу) комунальних унітарних підприємств та їх об</w:t>
            </w:r>
            <w:r w:rsidR="00563276">
              <w:rPr>
                <w:rFonts w:ascii="Times New Roman" w:hAnsi="Times New Roman"/>
                <w:sz w:val="28"/>
                <w:szCs w:val="28"/>
                <w:lang w:eastAsia="uk-UA"/>
              </w:rPr>
              <w:t>’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єднань, що вилучається до відповідного місцевого бюджету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6A6533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>Управління майном спільної власності Львівської обласної ради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F5AC9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5A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05 липня </w:t>
            </w:r>
          </w:p>
          <w:p w:rsidR="00A5155A" w:rsidRPr="008F5AC9" w:rsidRDefault="00A5155A" w:rsidP="00CF1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5AC9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gridAfter w:val="1"/>
          <w:wAfter w:w="16" w:type="pct"/>
          <w:trHeight w:val="8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EF5031" w:rsidRDefault="00A5155A" w:rsidP="00DA20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EF503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  <w:r w:rsidRPr="00EF5031">
              <w:rPr>
                <w:sz w:val="28"/>
                <w:szCs w:val="28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6A6533" w:rsidRDefault="00A5155A" w:rsidP="00EF5031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  <w:shd w:val="clear" w:color="auto" w:fill="FFFFFF"/>
              </w:rPr>
              <w:t>Розрахунок прогнозу обсягу доходів обласного бюджету, визначення обсягу фінансування обласного бюджету</w:t>
            </w:r>
            <w:r>
              <w:rPr>
                <w:sz w:val="28"/>
                <w:szCs w:val="28"/>
                <w:shd w:val="clear" w:color="auto" w:fill="FFFFFF"/>
              </w:rPr>
              <w:t xml:space="preserve"> та</w:t>
            </w:r>
            <w:r w:rsidRPr="006A6533">
              <w:rPr>
                <w:sz w:val="28"/>
                <w:szCs w:val="28"/>
                <w:shd w:val="clear" w:color="auto" w:fill="FFFFFF"/>
              </w:rPr>
              <w:t xml:space="preserve"> повернення кредитів до обласного бюджету </w:t>
            </w:r>
            <w:r w:rsidRPr="006A6533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5</w:t>
            </w:r>
            <w:r w:rsidRPr="006A6533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6A6533">
              <w:rPr>
                <w:sz w:val="28"/>
                <w:szCs w:val="28"/>
              </w:rPr>
              <w:t xml:space="preserve"> роки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6A6533" w:rsidRDefault="00A5155A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6A6533" w:rsidRDefault="00A5155A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15 липня </w:t>
            </w:r>
          </w:p>
          <w:p w:rsidR="00A5155A" w:rsidRPr="006A6533" w:rsidRDefault="00A5155A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A5155A" w:rsidRPr="006A6533">
        <w:trPr>
          <w:trHeight w:val="102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EF5031" w:rsidRDefault="00A5155A" w:rsidP="006E3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EF5031" w:rsidRDefault="00A5155A" w:rsidP="001C54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Розроблення інструкції з підготовки пропозицій до прогнозу обласного бюджету </w:t>
            </w:r>
            <w:r w:rsidRPr="00EF5031">
              <w:rPr>
                <w:rFonts w:ascii="Times New Roman" w:hAnsi="Times New Roman"/>
                <w:sz w:val="28"/>
                <w:szCs w:val="28"/>
              </w:rPr>
              <w:t xml:space="preserve">на 2025-2027 роки </w:t>
            </w:r>
            <w:r w:rsidRPr="00EF50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 доведення її до головних розпорядників коштів обласного бюджету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EF503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EF5031" w:rsidRDefault="00A5155A" w:rsidP="00E86A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19 липня </w:t>
            </w:r>
          </w:p>
          <w:p w:rsidR="00A5155A" w:rsidRPr="00EF5031" w:rsidRDefault="00A5155A" w:rsidP="00E86A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F5031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gridAfter w:val="1"/>
          <w:wAfter w:w="16" w:type="pct"/>
          <w:trHeight w:val="8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244641" w:rsidRDefault="00A5155A" w:rsidP="00BB401B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244641">
              <w:rPr>
                <w:sz w:val="28"/>
                <w:szCs w:val="28"/>
              </w:rPr>
              <w:t xml:space="preserve">Відповідно до інструкції з підготовки пропозицій до прогнозу  обласного бюджету та орієнтовних граничних показників, доведених департаментом фінансів облдержадміністрації, </w:t>
            </w:r>
            <w:r w:rsidRPr="00244641">
              <w:rPr>
                <w:sz w:val="28"/>
                <w:szCs w:val="28"/>
              </w:rPr>
              <w:lastRenderedPageBreak/>
              <w:t xml:space="preserve">надання департаменту фінансів облдержадміністрації пропозицій до прогнозу обласного бюджету на 2025-2027 роки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244641" w:rsidRDefault="00A5155A" w:rsidP="00C94B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Головні розпорядники коштів обласного бюджету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C94B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До 01 серпня</w:t>
            </w:r>
          </w:p>
          <w:p w:rsidR="00A5155A" w:rsidRPr="00244641" w:rsidRDefault="00A5155A" w:rsidP="00C94B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gridAfter w:val="1"/>
          <w:wAfter w:w="16" w:type="pct"/>
          <w:trHeight w:val="8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1C54FD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244641">
              <w:rPr>
                <w:sz w:val="28"/>
                <w:szCs w:val="28"/>
              </w:rPr>
              <w:lastRenderedPageBreak/>
              <w:t>1.8.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244641" w:rsidRDefault="00A5155A" w:rsidP="00646A2E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244641">
              <w:rPr>
                <w:sz w:val="28"/>
                <w:szCs w:val="28"/>
              </w:rPr>
              <w:t>Здійснення аналізу поданих головними розпорядниками бюджетних коштів пропозицій до прогнозу обласного бюджету на 2025-2027 роки на відповідність доведеним орієнтовним граничним показникам видатків обласного бюджету та надання кредитів з обласного бюджету і вимогам доведеної інструкції та прийняття рішення про включення поданих пропозицій до прогнозу обласного бюджету на 2025-2027 роки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 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09 серпня </w:t>
            </w:r>
          </w:p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gridAfter w:val="1"/>
          <w:wAfter w:w="16" w:type="pct"/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1.9.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244641" w:rsidRDefault="00A5155A" w:rsidP="001C54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Підготовка, погодження та подання Міністерству фінансів України довідок про фактично сплачені суми податку на прибуток підприємств і податку на доходи фізичних осіб у 2023 році для коригування індексів податкоспроможності місцевих бюджетів Львівської області відповідно до статті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100 Бюджетного кодексу Укра</w:t>
            </w:r>
            <w:r w:rsidR="006757F3" w:rsidRPr="00661929">
              <w:rPr>
                <w:rFonts w:ascii="Times New Roman" w:hAnsi="Times New Roman"/>
                <w:sz w:val="28"/>
                <w:szCs w:val="28"/>
                <w:lang w:eastAsia="uk-UA"/>
              </w:rPr>
              <w:t>їни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у зв’язку зі зміною місцезнаходження суб’єктів господарювання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платників податків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</w:p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4641">
              <w:rPr>
                <w:rFonts w:ascii="Times New Roman" w:hAnsi="Times New Roman"/>
                <w:sz w:val="28"/>
                <w:szCs w:val="28"/>
              </w:rPr>
              <w:t xml:space="preserve">Головне управління ДПС у Львівській області, </w:t>
            </w:r>
          </w:p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bCs/>
                <w:sz w:val="28"/>
                <w:szCs w:val="28"/>
              </w:rPr>
              <w:t>Західне міжрегіональне управління ДПС по роботі з великими платниками податків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До 09 серпня</w:t>
            </w:r>
          </w:p>
          <w:p w:rsidR="00A5155A" w:rsidRPr="00244641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t>1.10.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3423E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t>Подання прогнозу обласного бюджету на 2025-2027 роки на розгляд і схвалення облдержадміністрації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15 серпня </w:t>
            </w:r>
          </w:p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t>1.11.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3423E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t>Розгляд та схвалення прогнозу обласного бюджету на 2025-2027 роки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Обласна державна адміністрація</w:t>
            </w:r>
          </w:p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0 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ерп</w:t>
            </w: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ня </w:t>
            </w:r>
          </w:p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lastRenderedPageBreak/>
              <w:t>1.12.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3423E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t>Оприлюднення на офіційному сайті схваленого облдержадміністрацією прогнозу обласного бюджету Львівської області на 2025-2027 роки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У п’</w:t>
            </w:r>
            <w:r w:rsidRPr="00867C1B">
              <w:rPr>
                <w:rFonts w:ascii="Times New Roman" w:hAnsi="Times New Roman"/>
                <w:sz w:val="28"/>
                <w:szCs w:val="28"/>
                <w:lang w:val="ru-RU" w:eastAsia="uk-UA"/>
              </w:rPr>
              <w:t>ятиденний термін з дня його схвалення</w:t>
            </w:r>
          </w:p>
        </w:tc>
      </w:tr>
      <w:tr w:rsidR="00A5155A" w:rsidRPr="006A6533">
        <w:trPr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t>1.13.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3423E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867C1B">
              <w:rPr>
                <w:sz w:val="28"/>
                <w:szCs w:val="28"/>
              </w:rPr>
              <w:t>Подання прогнозу обласного бюджету на 2025-2027 роки разом із фінансово-економічним обґрунтуванням до обласної ради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06 вересня </w:t>
            </w:r>
          </w:p>
          <w:p w:rsidR="00A5155A" w:rsidRPr="00867C1B" w:rsidRDefault="00A5155A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A5155A" w:rsidRPr="006A6533">
        <w:trPr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6A6533" w:rsidRDefault="00A5155A" w:rsidP="001C54FD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0F2EC9" w:rsidRDefault="00A5155A" w:rsidP="00D134CB">
            <w:pPr>
              <w:pStyle w:val="rvps9"/>
              <w:spacing w:before="0" w:beforeAutospacing="0" w:after="120" w:afterAutospacing="0"/>
              <w:ind w:left="72"/>
              <w:jc w:val="both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Забезпечення надання Міністерству фінансів України, казначейським органам інформації щодо формування та схвалення прогнозу обласного та інших місцевих бюджетів області на 202</w:t>
            </w:r>
            <w:r>
              <w:rPr>
                <w:sz w:val="28"/>
                <w:szCs w:val="28"/>
              </w:rPr>
              <w:t>5</w:t>
            </w:r>
            <w:r w:rsidRPr="006A6533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6A6533">
              <w:rPr>
                <w:sz w:val="28"/>
                <w:szCs w:val="28"/>
              </w:rPr>
              <w:t xml:space="preserve"> роки відповідно до вимог наказу М</w:t>
            </w:r>
            <w:r>
              <w:rPr>
                <w:sz w:val="28"/>
                <w:szCs w:val="28"/>
              </w:rPr>
              <w:t xml:space="preserve">іністерства фінансів </w:t>
            </w:r>
            <w:r w:rsidRPr="006A653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країни</w:t>
            </w:r>
            <w:r w:rsidRPr="006A6533">
              <w:rPr>
                <w:sz w:val="28"/>
                <w:szCs w:val="28"/>
              </w:rPr>
              <w:t xml:space="preserve"> від </w:t>
            </w:r>
            <w:smartTag w:uri="urn:schemas-microsoft-com:office:smarttags" w:element="date">
              <w:smartTagPr>
                <w:attr w:name="ls" w:val="trans"/>
                <w:attr w:name="Month" w:val="08"/>
                <w:attr w:name="Day" w:val="30"/>
                <w:attr w:name="Year" w:val="2021"/>
              </w:smartTagPr>
              <w:r w:rsidRPr="006A6533">
                <w:rPr>
                  <w:sz w:val="28"/>
                  <w:szCs w:val="28"/>
                </w:rPr>
                <w:t>30.08.2021</w:t>
              </w:r>
            </w:smartTag>
            <w:r w:rsidRPr="006A6533">
              <w:rPr>
                <w:sz w:val="28"/>
                <w:szCs w:val="28"/>
              </w:rPr>
              <w:t xml:space="preserve"> № 488 </w:t>
            </w:r>
            <w:r w:rsidRPr="000F2EC9">
              <w:rPr>
                <w:sz w:val="28"/>
                <w:szCs w:val="28"/>
              </w:rPr>
              <w:t>“</w:t>
            </w:r>
            <w:r w:rsidRPr="006A6533">
              <w:rPr>
                <w:sz w:val="28"/>
                <w:szCs w:val="28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</w:t>
            </w:r>
            <w:r w:rsidRPr="000F2EC9">
              <w:rPr>
                <w:sz w:val="28"/>
                <w:szCs w:val="28"/>
              </w:rPr>
              <w:t>”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6A6533" w:rsidRDefault="00A5155A" w:rsidP="000C55B6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головні розпорядники бюджетних коштів,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ісцеві фінансові органи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6A6533" w:rsidRDefault="00A5155A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У терміни, визна</w:t>
            </w:r>
            <w:r>
              <w:rPr>
                <w:sz w:val="28"/>
                <w:szCs w:val="28"/>
              </w:rPr>
              <w:t xml:space="preserve">чені наказом МФУ від </w:t>
            </w:r>
            <w:smartTag w:uri="urn:schemas-microsoft-com:office:smarttags" w:element="date">
              <w:smartTagPr>
                <w:attr w:name="ls" w:val="trans"/>
                <w:attr w:name="Month" w:val="08"/>
                <w:attr w:name="Day" w:val="30"/>
                <w:attr w:name="Year" w:val="2021"/>
              </w:smartTagPr>
              <w:r>
                <w:rPr>
                  <w:sz w:val="28"/>
                  <w:szCs w:val="28"/>
                </w:rPr>
                <w:t>30.08.2021</w:t>
              </w:r>
            </w:smartTag>
            <w:r>
              <w:rPr>
                <w:sz w:val="28"/>
                <w:szCs w:val="28"/>
              </w:rPr>
              <w:t> р.</w:t>
            </w:r>
            <w:r w:rsidRPr="006A6533">
              <w:rPr>
                <w:sz w:val="28"/>
                <w:szCs w:val="28"/>
              </w:rPr>
              <w:t xml:space="preserve"> № 488 </w:t>
            </w:r>
            <w:r>
              <w:rPr>
                <w:sz w:val="28"/>
                <w:szCs w:val="28"/>
              </w:rPr>
              <w:t>(зі змінами)</w:t>
            </w:r>
            <w:r w:rsidRPr="006A6533">
              <w:rPr>
                <w:sz w:val="28"/>
                <w:szCs w:val="28"/>
              </w:rPr>
              <w:t xml:space="preserve"> </w:t>
            </w:r>
          </w:p>
        </w:tc>
      </w:tr>
      <w:tr w:rsidR="00A5155A" w:rsidRPr="006A6533">
        <w:trPr>
          <w:trHeight w:val="56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6A6533" w:rsidRDefault="00A5155A" w:rsidP="00004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. Складання проєкту обласного бюджету на 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5</w:t>
            </w: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рік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:</w:t>
            </w:r>
          </w:p>
        </w:tc>
      </w:tr>
      <w:tr w:rsidR="00A5155A" w:rsidRPr="006A6533">
        <w:trPr>
          <w:gridAfter w:val="1"/>
          <w:wAfter w:w="16" w:type="pct"/>
          <w:trHeight w:val="81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867C1B" w:rsidRDefault="00A5155A" w:rsidP="00801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2F70B1" w:rsidRDefault="00A5155A" w:rsidP="00E51B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C6C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Аналіз діючої мережі закладів загальної середньої освіти області та 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організація попередніх слухань </w:t>
            </w:r>
            <w:r w:rsidRPr="00FC6C74">
              <w:rPr>
                <w:rFonts w:ascii="Times New Roman" w:hAnsi="Times New Roman"/>
                <w:sz w:val="28"/>
                <w:szCs w:val="28"/>
                <w:lang w:eastAsia="uk-UA"/>
              </w:rPr>
              <w:t>щодо комплектування мережі закладів загальної середньої освіти на 2024/2025 навчальний рік спільно з профільним заступник</w:t>
            </w:r>
            <w:r w:rsidR="00C64BDA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ом голови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="00C64BDA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r w:rsidR="00E51B0B" w:rsidRPr="00E51B0B">
              <w:rPr>
                <w:rFonts w:ascii="Times New Roman" w:hAnsi="Times New Roman"/>
                <w:sz w:val="28"/>
                <w:szCs w:val="28"/>
                <w:lang w:eastAsia="uk-UA"/>
              </w:rPr>
              <w:t>засновниками закладів загальної середньої освіти територіальних громад, в яких є проблеми пов’язані з комплектування мережі закладів загальної середньої освіти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5A" w:rsidRPr="00A17DB4" w:rsidRDefault="00A5155A" w:rsidP="00801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освіти і науки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="00C64BDA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департамент фінансів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6757F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6757F3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55A" w:rsidRPr="00A17DB4" w:rsidRDefault="00A5155A" w:rsidP="00801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До 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0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травня</w:t>
            </w:r>
          </w:p>
          <w:p w:rsidR="00A5155A" w:rsidRPr="00A17DB4" w:rsidRDefault="00A5155A" w:rsidP="00801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F3065B" w:rsidRPr="006A6533">
        <w:trPr>
          <w:gridAfter w:val="1"/>
          <w:wAfter w:w="16" w:type="pct"/>
          <w:trHeight w:val="81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5B" w:rsidRPr="00867C1B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Pr="00397F38" w:rsidRDefault="00F3065B" w:rsidP="0027668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17DB4">
              <w:rPr>
                <w:rFonts w:ascii="Times New Roman" w:hAnsi="Times New Roman"/>
                <w:sz w:val="28"/>
                <w:szCs w:val="28"/>
              </w:rPr>
              <w:t xml:space="preserve">Підготовка та подання пропозицій центральним органам влади щодо внесення змін до </w:t>
            </w:r>
            <w:r>
              <w:rPr>
                <w:rFonts w:ascii="Times New Roman" w:hAnsi="Times New Roman"/>
                <w:sz w:val="28"/>
                <w:szCs w:val="28"/>
              </w:rPr>
              <w:t>формул</w:t>
            </w:r>
            <w:r w:rsidR="00276686">
              <w:rPr>
                <w:rFonts w:ascii="Times New Roman" w:hAnsi="Times New Roman"/>
                <w:sz w:val="28"/>
                <w:szCs w:val="28"/>
              </w:rPr>
              <w:t>и розподілу освітньої субвенції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D275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освіти і науки </w:t>
            </w:r>
            <w:r w:rsidR="002F70B1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2F70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2F70B1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держ</w:t>
            </w:r>
            <w:r w:rsidR="002F70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2F70B1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="008C75C0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</w:p>
          <w:p w:rsidR="001F627F" w:rsidRPr="00A17DB4" w:rsidRDefault="001F627F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2F70B1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2F70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2F70B1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2F70B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2F70B1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676C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До 1 липня </w:t>
            </w:r>
          </w:p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F3065B" w:rsidRPr="006A6533">
        <w:trPr>
          <w:gridAfter w:val="1"/>
          <w:wAfter w:w="16" w:type="pct"/>
          <w:trHeight w:val="81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5B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2.3.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Pr="008A2FCE" w:rsidRDefault="00F3065B" w:rsidP="00F306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</w:rPr>
              <w:t>Підготовка та подання пропозицій центральним органам влади щодо внесення змін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механізму призначення академічних стипендій з метою підтримки найкращих студентів шляхом припинення виплати академічних стипендій студентам, які мають задовільні результати у навчанні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D275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освіти і </w:t>
            </w:r>
            <w:r w:rsidRPr="002766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науки </w:t>
            </w:r>
            <w:r w:rsidR="00C31B29" w:rsidRPr="00276686">
              <w:rPr>
                <w:rFonts w:ascii="Times New Roman" w:hAnsi="Times New Roman"/>
                <w:sz w:val="28"/>
                <w:szCs w:val="28"/>
                <w:lang w:eastAsia="uk-UA"/>
              </w:rPr>
              <w:t>обласної державної адміністрації,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C31B29" w:rsidRPr="00FC6C74">
              <w:rPr>
                <w:rFonts w:ascii="Times New Roman" w:hAnsi="Times New Roman"/>
                <w:sz w:val="28"/>
                <w:szCs w:val="28"/>
                <w:lang w:eastAsia="uk-UA"/>
              </w:rPr>
              <w:t>мережі закладів загальної середньої освіти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676C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1 липня </w:t>
            </w:r>
          </w:p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F3065B" w:rsidRPr="006A6533">
        <w:trPr>
          <w:gridAfter w:val="1"/>
          <w:wAfter w:w="16" w:type="pct"/>
          <w:trHeight w:val="81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5B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2.4.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Pr="00A17DB4" w:rsidRDefault="00F3065B" w:rsidP="00C31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</w:rPr>
              <w:t>Підготовка та подання пропозицій центральним органам влади щодо</w:t>
            </w:r>
            <w:r w:rsidR="001F627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оптимізації видатків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опл</w:t>
            </w:r>
            <w:r w:rsidR="001F627F">
              <w:rPr>
                <w:rFonts w:ascii="Times New Roman" w:hAnsi="Times New Roman"/>
                <w:sz w:val="28"/>
                <w:szCs w:val="28"/>
                <w:lang w:eastAsia="uk-UA"/>
              </w:rPr>
              <w:t>ату праці та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застосування додаткових коефіцієнтів підвищення посадових окладів</w:t>
            </w:r>
            <w:r w:rsidR="001F627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у галузі культури та мистецтва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з питань культури, національностей та релігій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676C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До 1 липня</w:t>
            </w:r>
          </w:p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2024 року</w:t>
            </w:r>
          </w:p>
        </w:tc>
      </w:tr>
      <w:tr w:rsidR="00F3065B" w:rsidRPr="006A6533">
        <w:trPr>
          <w:gridAfter w:val="1"/>
          <w:wAfter w:w="16" w:type="pct"/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5B" w:rsidRPr="00867C1B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2.</w:t>
            </w:r>
            <w:r w:rsidR="001F6F52"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83" w:rsidRDefault="00F3065B" w:rsidP="00F306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Підготовка та надання пропозицій </w:t>
            </w:r>
            <w:r w:rsidRPr="00A17DB4">
              <w:rPr>
                <w:rFonts w:ascii="Times New Roman" w:hAnsi="Times New Roman"/>
                <w:sz w:val="28"/>
                <w:szCs w:val="28"/>
              </w:rPr>
              <w:t xml:space="preserve">центральним органам влади 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про виділення області з державного бюджету фінансового ресурсу у 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році на реалізацію загальнодержавних галузевих програм і заходів</w:t>
            </w:r>
            <w:r w:rsidR="009B4F7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інших пропозицій для врахування у законопроєкті </w:t>
            </w:r>
            <w:r w:rsidR="00D73E3D" w:rsidRPr="00D73E3D">
              <w:rPr>
                <w:rFonts w:ascii="Times New Roman" w:hAnsi="Times New Roman"/>
                <w:sz w:val="28"/>
                <w:szCs w:val="28"/>
                <w:lang w:val="ru-RU" w:eastAsia="uk-UA"/>
              </w:rPr>
              <w:t>“</w:t>
            </w:r>
            <w:r w:rsidR="009B4F76">
              <w:rPr>
                <w:rFonts w:ascii="Times New Roman" w:hAnsi="Times New Roman"/>
                <w:sz w:val="28"/>
                <w:szCs w:val="28"/>
                <w:lang w:eastAsia="uk-UA"/>
              </w:rPr>
              <w:t>Про Державний бюджет України на 2025 рік</w:t>
            </w:r>
            <w:r w:rsidR="00D73E3D" w:rsidRPr="00D73E3D">
              <w:rPr>
                <w:rFonts w:ascii="Times New Roman" w:hAnsi="Times New Roman"/>
                <w:sz w:val="28"/>
                <w:szCs w:val="28"/>
                <w:lang w:val="ru-RU" w:eastAsia="uk-UA"/>
              </w:rPr>
              <w:t>”</w:t>
            </w:r>
            <w:r w:rsidR="009B4F7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інших державних нормативно-правових актах. </w:t>
            </w:r>
          </w:p>
          <w:p w:rsidR="00F3065B" w:rsidRPr="00A17DB4" w:rsidRDefault="009B4F76" w:rsidP="00F306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Інформацію для узагальнення подати департаменту фінансів облдержадміністрації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B6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Головні розпорядни</w:t>
            </w:r>
            <w:r w:rsidR="00925BE7">
              <w:rPr>
                <w:rFonts w:ascii="Times New Roman" w:hAnsi="Times New Roman"/>
                <w:sz w:val="28"/>
                <w:szCs w:val="28"/>
                <w:lang w:eastAsia="uk-UA"/>
              </w:rPr>
              <w:t>ки коштів обласного бюджету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F82AB6" w:rsidRDefault="00F82AB6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F82AB6" w:rsidRDefault="00F82AB6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5B6583" w:rsidRDefault="005B6583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F3065B" w:rsidRPr="00A17DB4" w:rsidRDefault="00C31B29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="00F3065B"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епартамент фінансів 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До 0</w:t>
            </w:r>
            <w:r w:rsidR="00F82AB6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липня</w:t>
            </w:r>
          </w:p>
          <w:p w:rsidR="00F3065B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  <w:p w:rsidR="00F82AB6" w:rsidRDefault="00F82AB6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F82AB6" w:rsidRDefault="00F82AB6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F82AB6" w:rsidRDefault="00F82AB6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5B6583" w:rsidRDefault="005B6583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F82AB6" w:rsidRDefault="00F82AB6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05 липня </w:t>
            </w:r>
          </w:p>
          <w:p w:rsidR="00F82AB6" w:rsidRPr="00A17DB4" w:rsidRDefault="00F82AB6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F3065B" w:rsidRPr="006A6533">
        <w:trPr>
          <w:gridAfter w:val="1"/>
          <w:wAfter w:w="16" w:type="pct"/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5B" w:rsidRPr="00867C1B" w:rsidRDefault="001F6F52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2.6</w:t>
            </w:r>
            <w:r w:rsidR="00F3065B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Pr="00FC6C74" w:rsidRDefault="00F3065B" w:rsidP="00C31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A779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Підготовка та подання пропозицій Національному агентству з питань державної служби та Міністерству фінансів України  щодо удосконалення процедури класифікації посад у державних органах та системи оплати праці державних </w:t>
            </w:r>
            <w:r w:rsidRPr="005A779F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службовців на основі 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>г</w:t>
            </w:r>
            <w:r w:rsidRPr="005A779F">
              <w:rPr>
                <w:rFonts w:ascii="Times New Roman" w:hAnsi="Times New Roman"/>
                <w:sz w:val="28"/>
                <w:szCs w:val="28"/>
                <w:lang w:eastAsia="uk-UA"/>
              </w:rPr>
              <w:t>рейдів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5B" w:rsidRPr="005A779F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A779F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Апарат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 w:rsidRPr="005A779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</w:p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5A779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епартамент фінансів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5B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Д</w:t>
            </w:r>
            <w:r w:rsidRPr="00CC512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05 липня </w:t>
            </w:r>
          </w:p>
          <w:p w:rsidR="00F3065B" w:rsidRPr="00A17DB4" w:rsidRDefault="00F3065B" w:rsidP="00F30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C5122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397F38" w:rsidRPr="006A6533">
        <w:trPr>
          <w:gridAfter w:val="1"/>
          <w:wAfter w:w="16" w:type="pct"/>
          <w:trHeight w:val="79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7F38" w:rsidRDefault="001F6F52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2.7.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38" w:rsidRPr="00A17DB4" w:rsidRDefault="00397F38" w:rsidP="00397F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A2F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Надання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обласній державній адміністрації та </w:t>
            </w:r>
            <w:r w:rsidRPr="008A2F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департаменту фінансів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8A2F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обґрунтованих пропозицій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віднесення закладів фахової передвищої освіти, які не отримали ліцензії на провадження освітньої діяльності, пов’язаної зі здобуттям ступеня бакалавра та/або молодшого бакалавра, до системи професійно-технічної освіти на 2025/2026 н.р.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38" w:rsidRPr="00A17DB4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D275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освіти і науки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676C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1 серпня </w:t>
            </w:r>
          </w:p>
          <w:p w:rsidR="00397F38" w:rsidRPr="00A17DB4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397F38" w:rsidRPr="006A6533">
        <w:trPr>
          <w:gridAfter w:val="1"/>
          <w:wAfter w:w="16" w:type="pct"/>
          <w:trHeight w:val="123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7F38" w:rsidRPr="00867C1B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  <w:p w:rsidR="00397F38" w:rsidRPr="00867C1B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F38" w:rsidRPr="00306A36" w:rsidRDefault="00397F38" w:rsidP="00397F3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uk-UA"/>
              </w:rPr>
            </w:pPr>
            <w:r w:rsidRPr="00363C40">
              <w:rPr>
                <w:rFonts w:ascii="Times New Roman" w:hAnsi="Times New Roman"/>
                <w:sz w:val="28"/>
                <w:szCs w:val="28"/>
                <w:lang w:eastAsia="uk-UA"/>
              </w:rPr>
              <w:t>Формування оптимальної, фінансово-спроможної мережі закладів загальної середньої освіти області на 2024/2025 навчальний рік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F38" w:rsidRPr="00A17DB4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освіти і науки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7F38" w:rsidRPr="00A17DB4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До 05 вересня</w:t>
            </w:r>
          </w:p>
          <w:p w:rsidR="00397F38" w:rsidRPr="00A17DB4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397F38" w:rsidRPr="00B23B79" w:rsidTr="00BA42AA">
        <w:trPr>
          <w:trHeight w:val="50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7F38" w:rsidRPr="000E267C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2.9.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38" w:rsidRPr="00C15259" w:rsidRDefault="00397F38" w:rsidP="00517FA4">
            <w:pPr>
              <w:spacing w:after="0" w:line="240" w:lineRule="auto"/>
              <w:jc w:val="both"/>
              <w:rPr>
                <w:rFonts w:cs="TimesNewRomanPSMT"/>
                <w:sz w:val="28"/>
                <w:szCs w:val="28"/>
                <w:lang w:eastAsia="uk-UA"/>
              </w:rPr>
            </w:pPr>
            <w:r w:rsidRPr="00BB2323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Проведення роботи з релокованими</w:t>
            </w:r>
            <w:r w:rsidRPr="00BB2323">
              <w:rPr>
                <w:rFonts w:ascii="Times New Roman" w:hAnsi="Times New Roman" w:cs="TimesNewRomanPSMT"/>
                <w:sz w:val="28"/>
                <w:szCs w:val="28"/>
                <w:lang w:eastAsia="uk-UA"/>
              </w:rPr>
              <w:t xml:space="preserve"> </w:t>
            </w:r>
            <w:r w:rsidRPr="00BB2323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суб’єктами господарювання щодо необхідності їх належної реєстрації за новим місцем діяльності на території Львівської </w:t>
            </w:r>
            <w:r w:rsidRPr="00E063BF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області та повноти сплати податків до місцевих бюджетів Львівщини</w:t>
            </w:r>
            <w:r w:rsidRPr="00E063BF">
              <w:rPr>
                <w:rFonts w:cs="TimesNewRomanPSMT"/>
                <w:sz w:val="28"/>
                <w:szCs w:val="28"/>
                <w:lang w:eastAsia="uk-UA"/>
              </w:rPr>
              <w:t xml:space="preserve">. </w:t>
            </w:r>
            <w:r w:rsidRPr="00E063BF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Узагальнені пропозиц</w:t>
            </w:r>
            <w:r w:rsidRPr="00E063BF">
              <w:rPr>
                <w:rFonts w:cs="TimesNewRomanPSMT"/>
                <w:sz w:val="28"/>
                <w:szCs w:val="28"/>
                <w:lang w:eastAsia="uk-UA"/>
              </w:rPr>
              <w:t>і</w:t>
            </w:r>
            <w:r w:rsidRPr="00E063BF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ї результатів роботи надати обл</w:t>
            </w:r>
            <w:r w:rsidR="00C31B29" w:rsidRPr="00E063BF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асній</w:t>
            </w:r>
            <w:r w:rsidR="00C31B29" w:rsidRPr="00BB2323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 </w:t>
            </w:r>
            <w:r w:rsidRPr="00BB2323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держа</w:t>
            </w:r>
            <w:r w:rsidR="00C31B29" w:rsidRPr="00BB2323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вній а</w:t>
            </w:r>
            <w:r w:rsidRPr="00BB2323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дміністрації та департаменту фінансів</w:t>
            </w:r>
            <w:r w:rsidRPr="00BB2323">
              <w:rPr>
                <w:rFonts w:cs="TimesNewRomanPSMT"/>
                <w:sz w:val="28"/>
                <w:szCs w:val="28"/>
                <w:lang w:eastAsia="uk-UA"/>
              </w:rPr>
              <w:t xml:space="preserve"> </w:t>
            </w:r>
            <w:r w:rsidR="00C31B29" w:rsidRPr="00BB2323">
              <w:rPr>
                <w:rFonts w:ascii="Times New Roman" w:hAnsi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38" w:rsidRPr="00244641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економічної політики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</w:p>
          <w:p w:rsidR="00397F38" w:rsidRPr="00244641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244641">
              <w:rPr>
                <w:rFonts w:ascii="Times New Roman" w:hAnsi="Times New Roman"/>
                <w:sz w:val="28"/>
                <w:szCs w:val="28"/>
              </w:rPr>
              <w:t xml:space="preserve">оловне управління ДПС у Львівській області, </w:t>
            </w:r>
          </w:p>
          <w:p w:rsidR="00397F38" w:rsidRPr="00B23B79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4641">
              <w:rPr>
                <w:rFonts w:ascii="Times New Roman" w:hAnsi="Times New Roman"/>
                <w:bCs/>
                <w:sz w:val="28"/>
                <w:szCs w:val="28"/>
              </w:rPr>
              <w:t>Західне міжрегіональне управління ДПС по роботі з великими платниками податків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7F38" w:rsidRPr="00B23B79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>До 0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вересня</w:t>
            </w:r>
          </w:p>
          <w:p w:rsidR="00397F38" w:rsidRPr="00B23B79" w:rsidRDefault="00397F38" w:rsidP="00397F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B1788C" w:rsidRPr="00B23B79" w:rsidTr="00BA42AA">
        <w:trPr>
          <w:trHeight w:val="50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2.10.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B23B79" w:rsidRDefault="00B1788C" w:rsidP="00B17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23B79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Надання </w:t>
            </w: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департаменту фінансів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23B79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прогнозу росту цін і тарифів на енергоносії та комунальні послуги в 2025 році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B23B79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паливно-</w:t>
            </w:r>
          </w:p>
          <w:p w:rsidR="00B1788C" w:rsidRPr="00B23B79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енергетичного комплексу, </w:t>
            </w: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енергоефективності та житлово-комунального господарства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23B79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До 20</w:t>
            </w: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вересня</w:t>
            </w:r>
          </w:p>
          <w:p w:rsidR="00B1788C" w:rsidRPr="00B23B79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23B79"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B1788C" w:rsidRPr="006A6533">
        <w:trPr>
          <w:trHeight w:val="6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867C1B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11</w:t>
            </w:r>
            <w:r w:rsidRPr="00867C1B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  <w:p w:rsidR="00B1788C" w:rsidRPr="00867C1B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Доведення до головних розпорядників коштів обласного бюджету, районних, міських, селищних, сільських рад розрахунків прогнозних обсягів міжбюджетних трансфертів, схвалених Кабінетом Міністрів України, в проєкті Закону України “Про Державний бюджет на 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рік”, методики їх визначення, організаційно-методичних вимог та інших показників щодо складання проєктів місцевих бюджетів на 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 обл</w:t>
            </w:r>
            <w:r w:rsidR="0076676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76676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01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жовтн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я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B1788C" w:rsidRPr="006A6533">
        <w:trPr>
          <w:trHeight w:val="50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0E267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2.12</w:t>
            </w:r>
            <w:r w:rsidRPr="000E267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. 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867C1B" w:rsidRDefault="00B1788C" w:rsidP="00B1788C">
            <w:pPr>
              <w:spacing w:after="0" w:line="240" w:lineRule="auto"/>
              <w:jc w:val="both"/>
              <w:rPr>
                <w:rFonts w:ascii="Times New Roman" w:hAnsi="Times New Roman" w:cs="TimesNewRomanPSMT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NewRomanPSMT"/>
                <w:sz w:val="28"/>
                <w:szCs w:val="28"/>
                <w:lang w:eastAsia="uk-UA"/>
              </w:rPr>
              <w:t>Підготовка і надання зауважень і пропозицій до проєкту Державного бюджету на 2025 рік, запропонованих Урядом і направлених до Верховної Ради України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C31B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C31B29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</w:p>
          <w:p w:rsidR="00B1788C" w:rsidRPr="00B23B79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оловні розпорядники коштів обласного бюджету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До 1 жовтня</w:t>
            </w:r>
          </w:p>
          <w:p w:rsidR="00B1788C" w:rsidRPr="00B23B79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2024 року</w:t>
            </w:r>
          </w:p>
        </w:tc>
      </w:tr>
      <w:tr w:rsidR="00B1788C" w:rsidRPr="006A6533">
        <w:trPr>
          <w:trHeight w:val="50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0E267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E267C">
              <w:rPr>
                <w:rFonts w:ascii="Times New Roman" w:hAnsi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13</w:t>
            </w:r>
            <w:r w:rsidRPr="000E267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. </w:t>
            </w:r>
          </w:p>
          <w:p w:rsidR="00B1788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  <w:lang w:eastAsia="uk-UA"/>
              </w:rPr>
            </w:pPr>
          </w:p>
          <w:p w:rsidR="00B1788C" w:rsidRPr="00B84A82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  <w:lang w:eastAsia="uk-UA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B84A82" w:rsidRDefault="00B1788C" w:rsidP="00B17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П</w:t>
            </w:r>
            <w:r w:rsidRPr="00232CA8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рове</w:t>
            </w:r>
            <w:r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дення інвентаризації об’єктів</w:t>
            </w:r>
            <w:r w:rsidRPr="00232CA8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у</w:t>
            </w:r>
            <w:r w:rsidRPr="00232CA8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 яких впроваджувалися заходи з енергозбереження в </w:t>
            </w:r>
            <w:r>
              <w:rPr>
                <w:rFonts w:ascii="Times New Roman" w:hAnsi="Times New Roman" w:cs="TimesNewRomanPSMT"/>
                <w:sz w:val="28"/>
                <w:szCs w:val="28"/>
                <w:lang w:eastAsia="uk-UA"/>
              </w:rPr>
              <w:t>межа</w:t>
            </w:r>
            <w:r w:rsidRPr="00232CA8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х програм енергозбереження за </w:t>
            </w:r>
            <w:r w:rsidRPr="00563423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2015-2023</w:t>
            </w:r>
            <w:r w:rsidRPr="00232CA8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 роки</w:t>
            </w:r>
            <w:r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.</w:t>
            </w:r>
            <w:r w:rsidRPr="00232CA8"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  <w:lang w:eastAsia="uk-UA"/>
              </w:rPr>
              <w:t>Визначення переліку об’єктів, які є найбільш енергозатратними та потребують завершення робіт з енергоефективності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паливно-енергетичного комплексу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енергоефективності та житлово-комунального господарства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01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жовт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ня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B1788C" w:rsidRPr="006A6533">
        <w:trPr>
          <w:trHeight w:val="50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563423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63423">
              <w:rPr>
                <w:rFonts w:ascii="Times New Roman" w:hAnsi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14</w:t>
            </w:r>
            <w:r w:rsidRPr="0056342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  <w:p w:rsidR="00B1788C" w:rsidRPr="00B84A82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  <w:lang w:eastAsia="uk-UA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B84A82" w:rsidRDefault="00B1788C" w:rsidP="00B17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84A8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Надання департаменту фінансів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B84A8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головним розпорядникам коштів обласного бюджету обґрунтованих пропозицій до лімітів споживання у </w:t>
            </w:r>
            <w:r w:rsidRPr="00B84A82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2025 році енергоносіїв у натуральних показниках бюджетними установами, що фінансуються з обласного бюджету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Департамент паливно-енергетичного комплексу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енергоефективності та житлово-комунального господарства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01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жовт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ня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B1788C" w:rsidRPr="006A6533">
        <w:trPr>
          <w:trHeight w:val="77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563423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63423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2.1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56342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  <w:p w:rsidR="00B1788C" w:rsidRPr="00131495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  <w:lang w:eastAsia="uk-UA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Розроблення та доведення до головних розпорядників бюджетних коштів інструкції з підготовки бюджетних запитів та проєктних розрахункових показників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видатків обласного 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бюджету з урахуванням особливостей складання проєктів місцевих бюджетів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жовтня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B1788C" w:rsidRPr="006A6533">
        <w:trPr>
          <w:trHeight w:val="73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563423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63423">
              <w:rPr>
                <w:rFonts w:ascii="Times New Roman" w:hAnsi="Times New Roman"/>
                <w:sz w:val="28"/>
                <w:szCs w:val="28"/>
                <w:lang w:eastAsia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  <w:r w:rsidRPr="0056342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  <w:p w:rsidR="00B1788C" w:rsidRPr="00131495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  <w:lang w:eastAsia="uk-UA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Надання департаменту фінансів облдержадміністрації бюджетних запитів у форматі програмно-цільового методу бюджетування щодо потреби в коштах на утримання установ, підприємств та організацій обласного значення, виконання обласних програм, розширення переліку джерел фінансування бюджетних установ і збільшення власних надходжень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Головні розпорядники коштів обласного бюджету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18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жовтня 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B1788C" w:rsidRPr="006A6533">
        <w:trPr>
          <w:trHeight w:val="73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563423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2.17.</w:t>
            </w: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FA64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13CE6">
              <w:rPr>
                <w:rFonts w:ascii="Times New Roman" w:hAnsi="Times New Roman"/>
                <w:sz w:val="28"/>
                <w:szCs w:val="28"/>
                <w:lang w:eastAsia="uk-UA"/>
              </w:rPr>
              <w:t>Під час підготовки бюджетного з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>апиту на 2025 рік  деталізувати</w:t>
            </w:r>
            <w:r w:rsidRPr="00C13C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є</w:t>
            </w:r>
            <w:r w:rsidRPr="00C13CE6">
              <w:rPr>
                <w:rFonts w:ascii="Times New Roman" w:hAnsi="Times New Roman"/>
                <w:sz w:val="28"/>
                <w:szCs w:val="28"/>
                <w:lang w:eastAsia="uk-UA"/>
              </w:rPr>
              <w:t>кти матеріальн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– технічної допомоги, надати обласній державній адміністрації </w:t>
            </w:r>
            <w:r w:rsidRPr="00C13CE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 департаменту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пропозиції щодо обсягу </w:t>
            </w:r>
            <w:r w:rsidRPr="00C13CE6">
              <w:rPr>
                <w:rFonts w:ascii="Times New Roman" w:hAnsi="Times New Roman"/>
                <w:sz w:val="28"/>
                <w:szCs w:val="28"/>
                <w:lang w:eastAsia="uk-UA"/>
              </w:rPr>
              <w:t>фінансового ресурсу на їх співфінансування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03E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міжнародного співробітництва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3E5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3E5E8B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903EB8">
              <w:rPr>
                <w:rFonts w:ascii="Times New Roman" w:hAnsi="Times New Roman"/>
                <w:sz w:val="28"/>
                <w:szCs w:val="28"/>
                <w:lang w:eastAsia="uk-UA"/>
              </w:rPr>
              <w:t>о 18 жовтня 2024 року</w:t>
            </w:r>
          </w:p>
        </w:tc>
      </w:tr>
      <w:tr w:rsidR="00B1788C" w:rsidRPr="006A6533">
        <w:trPr>
          <w:trHeight w:val="71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563423" w:rsidRDefault="00B1788C" w:rsidP="00B1788C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563423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>8</w:t>
            </w:r>
            <w:r w:rsidRPr="00563423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120" w:beforeAutospacing="0" w:after="12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Аналіз отриманих від головних розпорядників коштів обласного бюджету бюджетних запитів та прийняття рішення про їх включення до проєкту обласного бюджету на 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рік. Проведення нарад з головними розпорядниками коштів з цього питання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До 0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листопада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563423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63423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>9</w:t>
            </w:r>
            <w:r w:rsidRPr="00563423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Доведення до головних розпорядників коштів обласного бюджету, районних, міських, селищних, сільських рад області:</w:t>
            </w:r>
          </w:p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 xml:space="preserve">- обсягів міжбюджетних трансфертів врахованих у проєкті </w:t>
            </w:r>
            <w:r w:rsidRPr="00A17DB4">
              <w:rPr>
                <w:sz w:val="28"/>
                <w:szCs w:val="28"/>
              </w:rPr>
              <w:lastRenderedPageBreak/>
              <w:t>державного бюджету, прийнятого Верховною Радою України у другому читанні;</w:t>
            </w:r>
          </w:p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- текстових статей, методологічно-організаційних вимог щодо складання проєктів місцевих бюджетів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 xml:space="preserve">У тижневий термін з дня прийняття ВРУ </w:t>
            </w:r>
            <w:r w:rsidRPr="00A17DB4">
              <w:rPr>
                <w:sz w:val="28"/>
                <w:szCs w:val="28"/>
              </w:rPr>
              <w:lastRenderedPageBreak/>
              <w:t>проєкту Закону України про Державний бюджет України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 у другому читанні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563423" w:rsidRDefault="00B1788C" w:rsidP="00B1788C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2.20</w:t>
            </w:r>
            <w:r w:rsidRPr="00563423">
              <w:rPr>
                <w:sz w:val="28"/>
                <w:szCs w:val="28"/>
              </w:rPr>
              <w:t xml:space="preserve">. </w:t>
            </w:r>
          </w:p>
          <w:p w:rsidR="00B1788C" w:rsidRPr="005C6B51" w:rsidRDefault="00B1788C" w:rsidP="00B1788C">
            <w:pPr>
              <w:pStyle w:val="rvps12"/>
              <w:spacing w:before="120" w:beforeAutospacing="0" w:after="12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Підготовка проєкту розпорядження обласної військової (державної) адміністрації (рішення обласної ради) про обласний бюджет з додатками згідно з типовою формою, затвердженою відповідним наказом Мінфіну, і матеріалів, передбачених </w:t>
            </w:r>
            <w:hyperlink r:id="rId8" w:anchor="n1239" w:tgtFrame="_blank" w:history="1">
              <w:r w:rsidRPr="00A17DB4">
                <w:rPr>
                  <w:rStyle w:val="a9"/>
                  <w:rFonts w:eastAsia="Calibri"/>
                  <w:color w:val="auto"/>
                  <w:sz w:val="28"/>
                  <w:szCs w:val="28"/>
                  <w:u w:val="none"/>
                </w:rPr>
                <w:t>статтею 76</w:t>
              </w:r>
            </w:hyperlink>
            <w:r w:rsidRPr="00A17DB4">
              <w:rPr>
                <w:sz w:val="28"/>
                <w:szCs w:val="28"/>
              </w:rPr>
              <w:t> Бюджетного кодексу України, їх подання обласній військовій (державній) адміністрації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До 20 листопада</w:t>
            </w:r>
          </w:p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17DB4">
              <w:rPr>
                <w:sz w:val="28"/>
                <w:szCs w:val="28"/>
              </w:rPr>
              <w:t xml:space="preserve"> року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E0014" w:rsidRDefault="00B1788C" w:rsidP="00B1788C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2.21</w:t>
            </w:r>
            <w:r w:rsidRPr="00BE0014">
              <w:rPr>
                <w:sz w:val="28"/>
                <w:szCs w:val="28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BE0014" w:rsidRDefault="00B1788C" w:rsidP="00B1788C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E0014">
              <w:rPr>
                <w:sz w:val="28"/>
                <w:szCs w:val="28"/>
              </w:rPr>
              <w:t>Оприлюднення на офіційному сайті проєкту розпорядження (рішення) про обласний бюджет Львівської області на 2025 рік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пізніше, ніж через три робочі дні після подання його обласній державній адміністрації (обласній раді)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E0014" w:rsidRDefault="00B1788C" w:rsidP="00B1788C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</w:t>
            </w:r>
            <w:r w:rsidRPr="00BE0014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120" w:beforeAutospacing="0" w:after="12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Розміщення бюджетних запитів на офіційних сайтах</w:t>
            </w:r>
            <w:r>
              <w:rPr>
                <w:sz w:val="28"/>
                <w:szCs w:val="28"/>
              </w:rPr>
              <w:t>,</w:t>
            </w:r>
            <w:r w:rsidRPr="00A17DB4">
              <w:rPr>
                <w:sz w:val="28"/>
                <w:szCs w:val="28"/>
              </w:rPr>
              <w:t xml:space="preserve"> або оприлюднення їх в інший спосіб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DB4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861241" w:rsidRDefault="00B1788C" w:rsidP="00B1788C">
            <w:pPr>
              <w:pStyle w:val="rvps14"/>
              <w:tabs>
                <w:tab w:val="left" w:pos="103"/>
                <w:tab w:val="left" w:pos="387"/>
              </w:tabs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861241">
              <w:rPr>
                <w:sz w:val="28"/>
                <w:szCs w:val="28"/>
                <w:shd w:val="clear" w:color="auto" w:fill="FFFFFF"/>
              </w:rPr>
              <w:t xml:space="preserve">Не пізніше ніж через три робочі дні після подання проєкту розпорядження   (рішення) про </w:t>
            </w:r>
            <w:r>
              <w:rPr>
                <w:sz w:val="28"/>
                <w:szCs w:val="28"/>
                <w:shd w:val="clear" w:color="auto" w:fill="FFFFFF"/>
              </w:rPr>
              <w:t>обласний</w:t>
            </w:r>
            <w:r w:rsidRPr="00861241">
              <w:rPr>
                <w:sz w:val="28"/>
                <w:szCs w:val="28"/>
                <w:shd w:val="clear" w:color="auto" w:fill="FFFFFF"/>
              </w:rPr>
              <w:t xml:space="preserve"> бюджет обласній державній адміністрації (обласній раді)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E0014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2.23</w:t>
            </w:r>
            <w:r w:rsidRPr="00BE0014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Погодження мережі розпорядників коштів обласного бюджету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 та подання її Головному управлінню державної казначейської служби України у Львівській області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, головні розпорядники коштів обласного бюджету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DB4">
              <w:rPr>
                <w:rFonts w:ascii="Times New Roman" w:hAnsi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17DB4">
              <w:rPr>
                <w:rFonts w:ascii="Times New Roman" w:hAnsi="Times New Roman"/>
                <w:sz w:val="28"/>
                <w:szCs w:val="28"/>
              </w:rPr>
              <w:t xml:space="preserve"> грудня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E0014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2.24</w:t>
            </w:r>
            <w:r w:rsidRPr="00BE0014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 xml:space="preserve">Підготовка проєкту розпорядження обласної військової (державної) адміністрації про затвердження Порядку розподілу </w:t>
            </w:r>
            <w:r w:rsidRPr="00A17DB4">
              <w:rPr>
                <w:sz w:val="28"/>
                <w:szCs w:val="28"/>
                <w:lang w:eastAsia="ru-RU"/>
              </w:rPr>
              <w:t>між місцевими бюджетами області додаткової дотації на здійснення переданих з державного бюджету видатків з утримання закладів освіти та охорони здоров’я на 202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A17DB4">
              <w:rPr>
                <w:sz w:val="28"/>
                <w:szCs w:val="28"/>
                <w:lang w:eastAsia="ru-RU"/>
              </w:rPr>
              <w:t xml:space="preserve"> рік. Подання Міністерству фінансів України розподілу додаткової дотації для підготовки проєкту розпорядження Кабінету Міністрів України щодо погодження зазначеного розподілу  коштів на 202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A17DB4">
              <w:rPr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25 грудня 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року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E0014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E001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25</w:t>
            </w:r>
            <w:r w:rsidRPr="00BE0014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 xml:space="preserve">Схвалення </w:t>
            </w:r>
            <w:r>
              <w:rPr>
                <w:sz w:val="28"/>
                <w:szCs w:val="28"/>
              </w:rPr>
              <w:t>та</w:t>
            </w:r>
            <w:r w:rsidRPr="00A17DB4">
              <w:rPr>
                <w:sz w:val="28"/>
                <w:szCs w:val="28"/>
              </w:rPr>
              <w:t xml:space="preserve"> затвердження проєкту розпорядження обласної військової (державної) адміністрації (рішення обласної ради) про обласний бюджет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Обласна державна адміністрація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 xml:space="preserve">До 25 грудня </w:t>
            </w:r>
          </w:p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17DB4">
              <w:rPr>
                <w:sz w:val="28"/>
                <w:szCs w:val="28"/>
              </w:rPr>
              <w:t xml:space="preserve"> року</w:t>
            </w:r>
          </w:p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E0014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E0014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6</w:t>
            </w:r>
            <w:r w:rsidRPr="00BE0014">
              <w:rPr>
                <w:sz w:val="28"/>
                <w:szCs w:val="28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093A02" w:rsidRDefault="00B1788C" w:rsidP="00B1788C">
            <w:pPr>
              <w:pStyle w:val="rvps14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BE0014">
              <w:rPr>
                <w:sz w:val="28"/>
                <w:szCs w:val="28"/>
              </w:rPr>
              <w:t>Оприлюднення на офіційному сайті розпорядження (рішення) про обласний бюджет Львівської області на 2025 рік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Обласна державна адміністрація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(обласна рада)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десятиденний термін з дня його прийняття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BE0014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E0014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7</w:t>
            </w:r>
            <w:r w:rsidRPr="00BE0014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C855D0" w:rsidP="0092686D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</w:t>
            </w:r>
            <w:r w:rsidR="0092686D" w:rsidRPr="00517FA4">
              <w:rPr>
                <w:sz w:val="28"/>
                <w:szCs w:val="28"/>
              </w:rPr>
              <w:t xml:space="preserve"> обласній раді</w:t>
            </w:r>
            <w:r w:rsidR="00B1788C" w:rsidRPr="00517FA4">
              <w:rPr>
                <w:sz w:val="28"/>
                <w:szCs w:val="28"/>
              </w:rPr>
              <w:t xml:space="preserve"> розпорядження про обласний бюджет на 2025 рік з пояснювальною запискою</w:t>
            </w:r>
            <w:r w:rsidR="00B1788C" w:rsidRPr="00A17DB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Обласна державна адміністрація</w:t>
            </w:r>
          </w:p>
          <w:p w:rsidR="00B1788C" w:rsidRPr="00A17DB4" w:rsidRDefault="00B1788C" w:rsidP="00B1788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84585" w:rsidP="00B84585">
            <w:pPr>
              <w:pStyle w:val="rvps14"/>
              <w:spacing w:after="0"/>
              <w:jc w:val="center"/>
              <w:rPr>
                <w:i/>
                <w:strike/>
                <w:sz w:val="28"/>
                <w:szCs w:val="28"/>
              </w:rPr>
            </w:pPr>
            <w:r w:rsidRPr="00B84585">
              <w:rPr>
                <w:sz w:val="28"/>
                <w:szCs w:val="28"/>
              </w:rPr>
              <w:t>До 2</w:t>
            </w:r>
            <w:r>
              <w:rPr>
                <w:sz w:val="28"/>
                <w:szCs w:val="28"/>
              </w:rPr>
              <w:t>7</w:t>
            </w:r>
            <w:r w:rsidRPr="00B84585">
              <w:rPr>
                <w:sz w:val="28"/>
                <w:szCs w:val="28"/>
              </w:rPr>
              <w:t xml:space="preserve"> грудня 2024 року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0244C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0244C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8</w:t>
            </w:r>
            <w:r w:rsidRPr="00A0244C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Подання розпорядження (рішення) про затвердження обласного бюджету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 Міністерству фінансів України для проведення експертизи на відповідність його положень чинному бюджетному законодавству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 xml:space="preserve">Наступного дня після підписання розпорядження (рішення) 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0244C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0244C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9</w:t>
            </w:r>
            <w:r w:rsidRPr="00A0244C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5C6B51">
              <w:rPr>
                <w:color w:val="0000FF"/>
                <w:sz w:val="28"/>
                <w:szCs w:val="28"/>
              </w:rPr>
              <w:t xml:space="preserve"> 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Подання рішень про затвердження місцевих бюджетів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 департаменту фінансів </w:t>
            </w:r>
            <w:r w:rsidR="00FA6486" w:rsidRPr="00244641">
              <w:rPr>
                <w:sz w:val="28"/>
                <w:szCs w:val="28"/>
              </w:rPr>
              <w:t>обл</w:t>
            </w:r>
            <w:r w:rsidR="00FA6486">
              <w:rPr>
                <w:sz w:val="28"/>
                <w:szCs w:val="28"/>
              </w:rPr>
              <w:t xml:space="preserve">асної </w:t>
            </w:r>
            <w:r w:rsidR="00FA6486" w:rsidRPr="00244641">
              <w:rPr>
                <w:sz w:val="28"/>
                <w:szCs w:val="28"/>
              </w:rPr>
              <w:t>держ</w:t>
            </w:r>
            <w:r w:rsidR="00FA6486">
              <w:rPr>
                <w:sz w:val="28"/>
                <w:szCs w:val="28"/>
              </w:rPr>
              <w:t xml:space="preserve">авної </w:t>
            </w:r>
            <w:r w:rsidR="00FA6486" w:rsidRPr="00244641">
              <w:rPr>
                <w:sz w:val="28"/>
                <w:szCs w:val="28"/>
              </w:rPr>
              <w:t>адміністрації</w:t>
            </w:r>
            <w:r w:rsidRPr="00A17DB4">
              <w:rPr>
                <w:sz w:val="28"/>
                <w:szCs w:val="28"/>
              </w:rPr>
              <w:t xml:space="preserve"> для проведення експертизи на відповідність їх положень чинному бюджетному законодавству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>Місцеві фінансові органи області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 xml:space="preserve">Наступного дня після підписання рішень 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0244C" w:rsidRDefault="00B1788C" w:rsidP="00B1788C">
            <w:pPr>
              <w:pStyle w:val="rvp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0244C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30</w:t>
            </w:r>
            <w:r w:rsidRPr="00A0244C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9"/>
              <w:spacing w:before="0" w:beforeAutospacing="0" w:after="0" w:afterAutospacing="0"/>
              <w:ind w:left="72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Доведення до головних розпорядників коштів обласного бюджету лімітних довідок про бюджетні асигнування та кредитування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9"/>
              <w:spacing w:before="0" w:beforeAutospacing="0" w:after="0" w:afterAutospacing="0"/>
              <w:ind w:left="74"/>
              <w:jc w:val="center"/>
              <w:rPr>
                <w:sz w:val="28"/>
                <w:szCs w:val="28"/>
                <w:shd w:val="clear" w:color="auto" w:fill="FFFFFF"/>
              </w:rPr>
            </w:pPr>
            <w:r w:rsidRPr="00A17DB4">
              <w:rPr>
                <w:sz w:val="28"/>
                <w:szCs w:val="28"/>
                <w:shd w:val="clear" w:color="auto" w:fill="FFFFFF"/>
              </w:rPr>
              <w:t xml:space="preserve">У двотижневий термін з дня ухвалення відповідного   розпорядження (рішення) про затвердження обласного бюджету на </w:t>
            </w:r>
          </w:p>
          <w:p w:rsidR="00B1788C" w:rsidRPr="00A17DB4" w:rsidRDefault="00B1788C" w:rsidP="00B1788C">
            <w:pPr>
              <w:pStyle w:val="rvps9"/>
              <w:spacing w:before="0" w:beforeAutospacing="0" w:after="0" w:afterAutospacing="0"/>
              <w:ind w:left="74"/>
              <w:jc w:val="center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  <w:shd w:val="clear" w:color="auto" w:fill="FFFFFF"/>
              </w:rPr>
              <w:t>202</w:t>
            </w:r>
            <w:r>
              <w:rPr>
                <w:sz w:val="28"/>
                <w:szCs w:val="28"/>
                <w:shd w:val="clear" w:color="auto" w:fill="FFFFFF"/>
              </w:rPr>
              <w:t>5</w:t>
            </w:r>
            <w:r w:rsidRPr="00A17DB4">
              <w:rPr>
                <w:sz w:val="28"/>
                <w:szCs w:val="28"/>
                <w:shd w:val="clear" w:color="auto" w:fill="FFFFFF"/>
              </w:rPr>
              <w:t xml:space="preserve"> рік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Default="00B1788C" w:rsidP="00B1788C">
            <w:pPr>
              <w:pStyle w:val="rvps1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  <w:p w:rsidR="00B1788C" w:rsidRPr="00A0244C" w:rsidRDefault="00B1788C" w:rsidP="00B1788C">
            <w:pPr>
              <w:pStyle w:val="rvp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2.31</w:t>
            </w:r>
            <w:r w:rsidRPr="00A0244C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9"/>
              <w:spacing w:before="0" w:beforeAutospacing="0" w:after="120" w:afterAutospacing="0"/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Підготовка та з</w:t>
            </w:r>
            <w:r w:rsidRPr="00A17DB4">
              <w:rPr>
                <w:sz w:val="28"/>
                <w:szCs w:val="28"/>
              </w:rPr>
              <w:t>атвердження розпису обласного бюджету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рік. Подання його до Г</w:t>
            </w:r>
            <w:r w:rsidRPr="00A17DB4">
              <w:rPr>
                <w:sz w:val="28"/>
                <w:szCs w:val="28"/>
                <w:shd w:val="clear" w:color="auto" w:fill="FFFFFF"/>
              </w:rPr>
              <w:t>оловного управління Державної казначейської служби України у Львівській області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</w:p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головні розпорядники коштів обласного бюджету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9"/>
              <w:spacing w:before="0" w:beforeAutospacing="0" w:after="0" w:afterAutospacing="0"/>
              <w:ind w:left="74"/>
              <w:jc w:val="center"/>
              <w:rPr>
                <w:sz w:val="28"/>
                <w:szCs w:val="28"/>
                <w:shd w:val="clear" w:color="auto" w:fill="FFFFFF"/>
              </w:rPr>
            </w:pPr>
            <w:r w:rsidRPr="00A17DB4">
              <w:rPr>
                <w:sz w:val="28"/>
                <w:szCs w:val="28"/>
                <w:shd w:val="clear" w:color="auto" w:fill="FFFFFF"/>
              </w:rPr>
              <w:t xml:space="preserve">У місячний термін з дня прийняття відповідного  розпорядження (рішення) про затвердження обласного бюджету на </w:t>
            </w:r>
          </w:p>
          <w:p w:rsidR="00B1788C" w:rsidRPr="00A17DB4" w:rsidRDefault="00B1788C" w:rsidP="00B1788C">
            <w:pPr>
              <w:pStyle w:val="rvps9"/>
              <w:spacing w:before="0" w:beforeAutospacing="0" w:after="0" w:afterAutospacing="0"/>
              <w:ind w:left="74"/>
              <w:jc w:val="center"/>
              <w:rPr>
                <w:color w:val="FF0000"/>
                <w:sz w:val="28"/>
                <w:szCs w:val="28"/>
              </w:rPr>
            </w:pPr>
            <w:r w:rsidRPr="00A17DB4">
              <w:rPr>
                <w:sz w:val="28"/>
                <w:szCs w:val="28"/>
                <w:shd w:val="clear" w:color="auto" w:fill="FFFFFF"/>
              </w:rPr>
              <w:t>202</w:t>
            </w:r>
            <w:r>
              <w:rPr>
                <w:sz w:val="28"/>
                <w:szCs w:val="28"/>
                <w:shd w:val="clear" w:color="auto" w:fill="FFFFFF"/>
              </w:rPr>
              <w:t>5</w:t>
            </w:r>
            <w:r w:rsidRPr="00A17DB4">
              <w:rPr>
                <w:sz w:val="28"/>
                <w:szCs w:val="28"/>
                <w:shd w:val="clear" w:color="auto" w:fill="FFFFFF"/>
              </w:rPr>
              <w:t xml:space="preserve"> рік</w:t>
            </w:r>
            <w:r w:rsidRPr="00A17DB4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0244C" w:rsidRDefault="00B1788C" w:rsidP="00B1788C">
            <w:pPr>
              <w:pStyle w:val="rvps12"/>
              <w:spacing w:before="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2.32</w:t>
            </w:r>
            <w:r w:rsidRPr="00A0244C">
              <w:rPr>
                <w:sz w:val="28"/>
                <w:szCs w:val="28"/>
              </w:rPr>
              <w:t>.</w:t>
            </w:r>
          </w:p>
          <w:p w:rsidR="00B1788C" w:rsidRPr="005C6B51" w:rsidRDefault="00B1788C" w:rsidP="00B1788C">
            <w:pPr>
              <w:pStyle w:val="rvps12"/>
              <w:spacing w:before="0" w:beforeAutospacing="0" w:after="120" w:afterAutospacing="0"/>
              <w:jc w:val="center"/>
              <w:rPr>
                <w:color w:val="0000FF"/>
                <w:sz w:val="28"/>
                <w:szCs w:val="28"/>
              </w:rPr>
            </w:pPr>
            <w:r w:rsidRPr="005C6B51">
              <w:rPr>
                <w:color w:val="0000FF"/>
                <w:sz w:val="28"/>
                <w:szCs w:val="28"/>
              </w:rPr>
              <w:t xml:space="preserve"> 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 w:rsidRPr="00A17DB4">
              <w:rPr>
                <w:sz w:val="28"/>
                <w:szCs w:val="28"/>
              </w:rPr>
              <w:t>Проведення експертизи рішень про затвердження місцевих бюджетів на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рік на відповідність їх положень чинному бюджетному законодавству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17DB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Грудень 2024 року – </w:t>
            </w:r>
          </w:p>
          <w:p w:rsidR="00B1788C" w:rsidRPr="006A6533" w:rsidRDefault="00B1788C" w:rsidP="00B1788C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</w:t>
            </w:r>
            <w:r w:rsidRPr="00A17DB4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A17DB4">
              <w:rPr>
                <w:sz w:val="28"/>
                <w:szCs w:val="28"/>
              </w:rPr>
              <w:t xml:space="preserve"> року</w:t>
            </w:r>
          </w:p>
        </w:tc>
      </w:tr>
      <w:tr w:rsidR="00B1788C" w:rsidRPr="006A6533">
        <w:trPr>
          <w:trHeight w:val="983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0244C" w:rsidRDefault="00B1788C" w:rsidP="00B1788C">
            <w:pPr>
              <w:pStyle w:val="rvps12"/>
              <w:spacing w:before="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2.33.</w:t>
            </w:r>
          </w:p>
          <w:p w:rsidR="00B1788C" w:rsidRPr="005C6B51" w:rsidRDefault="00B1788C" w:rsidP="00B1788C">
            <w:pPr>
              <w:pStyle w:val="rvps12"/>
              <w:spacing w:before="0" w:beforeAutospacing="0" w:after="12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pStyle w:val="rvps14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Забезпечення надання Міністерству фінансів України, казначейським органам інформації щодо формування та схвалення проєкту обласного та інших місцевих бюджетів області на 202</w:t>
            </w:r>
            <w:r>
              <w:rPr>
                <w:sz w:val="28"/>
                <w:szCs w:val="28"/>
              </w:rPr>
              <w:t>5</w:t>
            </w:r>
            <w:r w:rsidRPr="006A6533">
              <w:rPr>
                <w:sz w:val="28"/>
                <w:szCs w:val="28"/>
              </w:rPr>
              <w:t xml:space="preserve"> рік відповідно до вимог наказу М</w:t>
            </w:r>
            <w:r>
              <w:rPr>
                <w:sz w:val="28"/>
                <w:szCs w:val="28"/>
              </w:rPr>
              <w:t xml:space="preserve">іністерства фінансів </w:t>
            </w:r>
            <w:r w:rsidRPr="006A653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країни</w:t>
            </w:r>
            <w:r w:rsidRPr="006A6533">
              <w:rPr>
                <w:sz w:val="28"/>
                <w:szCs w:val="28"/>
              </w:rPr>
              <w:t xml:space="preserve"> від </w:t>
            </w:r>
            <w:smartTag w:uri="urn:schemas-microsoft-com:office:smarttags" w:element="date">
              <w:smartTagPr>
                <w:attr w:name="ls" w:val="trans"/>
                <w:attr w:name="Month" w:val="08"/>
                <w:attr w:name="Day" w:val="30"/>
                <w:attr w:name="Year" w:val="2021"/>
              </w:smartTagPr>
              <w:r w:rsidRPr="006A6533">
                <w:rPr>
                  <w:sz w:val="28"/>
                  <w:szCs w:val="28"/>
                </w:rPr>
                <w:t>30.08.2021</w:t>
              </w:r>
            </w:smartTag>
            <w:r w:rsidRPr="006A6533">
              <w:rPr>
                <w:sz w:val="28"/>
                <w:szCs w:val="28"/>
              </w:rPr>
              <w:t xml:space="preserve"> № 488 </w:t>
            </w:r>
            <w:r w:rsidRPr="00786B3F">
              <w:rPr>
                <w:sz w:val="28"/>
                <w:szCs w:val="28"/>
              </w:rPr>
              <w:t>“</w:t>
            </w:r>
            <w:r w:rsidRPr="006A6533">
              <w:rPr>
                <w:sz w:val="28"/>
                <w:szCs w:val="28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</w:t>
            </w:r>
            <w:r w:rsidRPr="00786B3F">
              <w:rPr>
                <w:sz w:val="28"/>
                <w:szCs w:val="28"/>
              </w:rPr>
              <w:t>”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8C" w:rsidRPr="00A17DB4" w:rsidRDefault="00B1788C" w:rsidP="00B178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фінансів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обл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асної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держ</w:t>
            </w:r>
            <w:r w:rsidR="00FA648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авної </w:t>
            </w:r>
            <w:r w:rsidR="00FA6486" w:rsidRPr="00244641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головні розпорядники бюджетних коштів, місцеві фінансові органи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88C" w:rsidRPr="00A17DB4" w:rsidRDefault="00B1788C" w:rsidP="00B1788C">
            <w:pPr>
              <w:pStyle w:val="rvps14"/>
              <w:spacing w:before="0" w:beforeAutospacing="0" w:after="12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У терміни, визна</w:t>
            </w:r>
            <w:r>
              <w:rPr>
                <w:sz w:val="28"/>
                <w:szCs w:val="28"/>
              </w:rPr>
              <w:t xml:space="preserve">чені наказом МФУ від </w:t>
            </w:r>
            <w:smartTag w:uri="urn:schemas-microsoft-com:office:smarttags" w:element="date">
              <w:smartTagPr>
                <w:attr w:name="Year" w:val="2021"/>
                <w:attr w:name="Day" w:val="30"/>
                <w:attr w:name="Month" w:val="08"/>
                <w:attr w:name="ls" w:val="trans"/>
              </w:smartTagPr>
              <w:r>
                <w:rPr>
                  <w:sz w:val="28"/>
                  <w:szCs w:val="28"/>
                </w:rPr>
                <w:t>30.08.2021</w:t>
              </w:r>
            </w:smartTag>
            <w:r>
              <w:rPr>
                <w:sz w:val="28"/>
                <w:szCs w:val="28"/>
              </w:rPr>
              <w:t> р.</w:t>
            </w:r>
            <w:r w:rsidRPr="006A65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r w:rsidRPr="006A6533">
              <w:rPr>
                <w:sz w:val="28"/>
                <w:szCs w:val="28"/>
              </w:rPr>
              <w:t>№ 488</w:t>
            </w:r>
            <w:r>
              <w:rPr>
                <w:sz w:val="28"/>
                <w:szCs w:val="28"/>
              </w:rPr>
              <w:t xml:space="preserve"> (зі змінами)</w:t>
            </w:r>
            <w:r w:rsidRPr="006A6533">
              <w:rPr>
                <w:sz w:val="28"/>
                <w:szCs w:val="28"/>
              </w:rPr>
              <w:t xml:space="preserve">  </w:t>
            </w:r>
          </w:p>
        </w:tc>
      </w:tr>
    </w:tbl>
    <w:p w:rsidR="00B3495D" w:rsidRPr="006A6533" w:rsidRDefault="00B3495D" w:rsidP="000A267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7E8E" w:rsidRDefault="00617E8E" w:rsidP="000A267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6486" w:rsidRDefault="00FA6486" w:rsidP="000A267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267A" w:rsidRPr="006A6533" w:rsidRDefault="0088444C" w:rsidP="000A267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A6533">
        <w:rPr>
          <w:rFonts w:ascii="Times New Roman" w:hAnsi="Times New Roman"/>
          <w:b/>
          <w:sz w:val="28"/>
          <w:szCs w:val="28"/>
        </w:rPr>
        <w:t>Д</w:t>
      </w:r>
      <w:r w:rsidR="000A267A" w:rsidRPr="006A6533">
        <w:rPr>
          <w:rFonts w:ascii="Times New Roman" w:hAnsi="Times New Roman"/>
          <w:b/>
          <w:sz w:val="28"/>
          <w:szCs w:val="28"/>
        </w:rPr>
        <w:t xml:space="preserve">иректор департаменту </w:t>
      </w:r>
      <w:r w:rsidR="005C6B51">
        <w:rPr>
          <w:rFonts w:ascii="Times New Roman" w:hAnsi="Times New Roman"/>
          <w:b/>
          <w:sz w:val="28"/>
          <w:szCs w:val="28"/>
        </w:rPr>
        <w:t>фінансів</w:t>
      </w:r>
    </w:p>
    <w:p w:rsidR="005448BF" w:rsidRPr="006A6533" w:rsidRDefault="000D62E3" w:rsidP="000A267A">
      <w:pPr>
        <w:spacing w:after="0"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A6533">
        <w:rPr>
          <w:rFonts w:ascii="Times New Roman" w:hAnsi="Times New Roman"/>
          <w:b/>
          <w:sz w:val="28"/>
          <w:szCs w:val="28"/>
        </w:rPr>
        <w:t>обл</w:t>
      </w:r>
      <w:r w:rsidR="005C6B51">
        <w:rPr>
          <w:rFonts w:ascii="Times New Roman" w:hAnsi="Times New Roman"/>
          <w:b/>
          <w:sz w:val="28"/>
          <w:szCs w:val="28"/>
        </w:rPr>
        <w:t xml:space="preserve">асної </w:t>
      </w:r>
      <w:r w:rsidRPr="006A6533">
        <w:rPr>
          <w:rFonts w:ascii="Times New Roman" w:hAnsi="Times New Roman"/>
          <w:b/>
          <w:sz w:val="28"/>
          <w:szCs w:val="28"/>
        </w:rPr>
        <w:t>держа</w:t>
      </w:r>
      <w:r w:rsidR="005C6B51">
        <w:rPr>
          <w:rFonts w:ascii="Times New Roman" w:hAnsi="Times New Roman"/>
          <w:b/>
          <w:sz w:val="28"/>
          <w:szCs w:val="28"/>
        </w:rPr>
        <w:t>вної а</w:t>
      </w:r>
      <w:r w:rsidRPr="006A6533">
        <w:rPr>
          <w:rFonts w:ascii="Times New Roman" w:hAnsi="Times New Roman"/>
          <w:b/>
          <w:sz w:val="28"/>
          <w:szCs w:val="28"/>
        </w:rPr>
        <w:t>дміністрації</w:t>
      </w:r>
      <w:r w:rsidR="00663F37">
        <w:rPr>
          <w:rFonts w:ascii="Times New Roman" w:hAnsi="Times New Roman"/>
          <w:b/>
          <w:sz w:val="28"/>
          <w:szCs w:val="28"/>
        </w:rPr>
        <w:tab/>
      </w:r>
      <w:r w:rsidR="00663F37">
        <w:rPr>
          <w:rFonts w:ascii="Times New Roman" w:hAnsi="Times New Roman"/>
          <w:b/>
          <w:sz w:val="28"/>
          <w:szCs w:val="28"/>
        </w:rPr>
        <w:tab/>
      </w:r>
      <w:r w:rsidR="00663F37">
        <w:rPr>
          <w:rFonts w:ascii="Times New Roman" w:hAnsi="Times New Roman"/>
          <w:b/>
          <w:sz w:val="28"/>
          <w:szCs w:val="28"/>
        </w:rPr>
        <w:tab/>
      </w:r>
      <w:r w:rsidR="00663F37">
        <w:rPr>
          <w:rFonts w:ascii="Times New Roman" w:hAnsi="Times New Roman"/>
          <w:b/>
          <w:sz w:val="28"/>
          <w:szCs w:val="28"/>
        </w:rPr>
        <w:tab/>
      </w:r>
      <w:r w:rsidR="00663F37">
        <w:rPr>
          <w:rFonts w:ascii="Times New Roman" w:hAnsi="Times New Roman"/>
          <w:b/>
          <w:sz w:val="28"/>
          <w:szCs w:val="28"/>
        </w:rPr>
        <w:tab/>
      </w:r>
      <w:r w:rsidR="00663F37">
        <w:rPr>
          <w:rFonts w:ascii="Times New Roman" w:hAnsi="Times New Roman"/>
          <w:b/>
          <w:sz w:val="28"/>
          <w:szCs w:val="28"/>
        </w:rPr>
        <w:tab/>
      </w:r>
      <w:r w:rsidR="00663F37">
        <w:rPr>
          <w:rFonts w:ascii="Times New Roman" w:hAnsi="Times New Roman"/>
          <w:b/>
          <w:sz w:val="28"/>
          <w:szCs w:val="28"/>
        </w:rPr>
        <w:tab/>
      </w:r>
      <w:r w:rsidR="005C6B51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="0088444C" w:rsidRPr="006A6533">
        <w:rPr>
          <w:rFonts w:ascii="Times New Roman" w:hAnsi="Times New Roman"/>
          <w:b/>
          <w:sz w:val="28"/>
          <w:szCs w:val="28"/>
        </w:rPr>
        <w:t>О.</w:t>
      </w:r>
      <w:r w:rsidR="00E752C2">
        <w:rPr>
          <w:rFonts w:ascii="Times New Roman" w:hAnsi="Times New Roman"/>
          <w:b/>
          <w:sz w:val="28"/>
          <w:szCs w:val="28"/>
        </w:rPr>
        <w:t xml:space="preserve"> </w:t>
      </w:r>
      <w:r w:rsidR="0088444C" w:rsidRPr="006A6533">
        <w:rPr>
          <w:rFonts w:ascii="Times New Roman" w:hAnsi="Times New Roman"/>
          <w:b/>
          <w:sz w:val="28"/>
          <w:szCs w:val="28"/>
        </w:rPr>
        <w:t>ДЕМКІВ</w:t>
      </w:r>
    </w:p>
    <w:sectPr w:rsidR="005448BF" w:rsidRPr="006A6533" w:rsidSect="00FA6486">
      <w:headerReference w:type="even" r:id="rId9"/>
      <w:headerReference w:type="default" r:id="rId10"/>
      <w:pgSz w:w="16838" w:h="11906" w:orient="landscape"/>
      <w:pgMar w:top="851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4AB" w:rsidRDefault="00BB44AB">
      <w:pPr>
        <w:spacing w:after="0" w:line="240" w:lineRule="auto"/>
      </w:pPr>
      <w:r>
        <w:separator/>
      </w:r>
    </w:p>
  </w:endnote>
  <w:endnote w:type="continuationSeparator" w:id="0">
    <w:p w:rsidR="00BB44AB" w:rsidRDefault="00BB4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4AB" w:rsidRDefault="00BB44AB">
      <w:pPr>
        <w:spacing w:after="0" w:line="240" w:lineRule="auto"/>
      </w:pPr>
      <w:r>
        <w:separator/>
      </w:r>
    </w:p>
  </w:footnote>
  <w:footnote w:type="continuationSeparator" w:id="0">
    <w:p w:rsidR="00BB44AB" w:rsidRDefault="00BB4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91" w:rsidRDefault="00486C91" w:rsidP="00C67B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C91" w:rsidRDefault="00486C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91" w:rsidRPr="003A7C76" w:rsidRDefault="00486C91" w:rsidP="00C67B4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3A7C76">
      <w:rPr>
        <w:rStyle w:val="a5"/>
        <w:rFonts w:ascii="Times New Roman" w:hAnsi="Times New Roman"/>
        <w:sz w:val="28"/>
        <w:szCs w:val="28"/>
      </w:rPr>
      <w:fldChar w:fldCharType="begin"/>
    </w:r>
    <w:r w:rsidRPr="003A7C76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3A7C76">
      <w:rPr>
        <w:rStyle w:val="a5"/>
        <w:rFonts w:ascii="Times New Roman" w:hAnsi="Times New Roman"/>
        <w:sz w:val="28"/>
        <w:szCs w:val="28"/>
      </w:rPr>
      <w:fldChar w:fldCharType="separate"/>
    </w:r>
    <w:r w:rsidR="007D21C4">
      <w:rPr>
        <w:rStyle w:val="a5"/>
        <w:rFonts w:ascii="Times New Roman" w:hAnsi="Times New Roman"/>
        <w:noProof/>
        <w:sz w:val="28"/>
        <w:szCs w:val="28"/>
      </w:rPr>
      <w:t>8</w:t>
    </w:r>
    <w:r w:rsidRPr="003A7C76">
      <w:rPr>
        <w:rStyle w:val="a5"/>
        <w:rFonts w:ascii="Times New Roman" w:hAnsi="Times New Roman"/>
        <w:sz w:val="28"/>
        <w:szCs w:val="28"/>
      </w:rPr>
      <w:fldChar w:fldCharType="end"/>
    </w:r>
  </w:p>
  <w:p w:rsidR="00486C91" w:rsidRDefault="00486C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1C71"/>
    <w:multiLevelType w:val="hybridMultilevel"/>
    <w:tmpl w:val="ECF4DF02"/>
    <w:lvl w:ilvl="0" w:tplc="A296C09E">
      <w:start w:val="2020"/>
      <w:numFmt w:val="bullet"/>
      <w:lvlText w:val="-"/>
      <w:lvlJc w:val="left"/>
      <w:pPr>
        <w:tabs>
          <w:tab w:val="num" w:pos="570"/>
        </w:tabs>
        <w:ind w:left="570" w:hanging="51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>
    <w:nsid w:val="571F152A"/>
    <w:multiLevelType w:val="hybridMultilevel"/>
    <w:tmpl w:val="4B02174C"/>
    <w:lvl w:ilvl="0" w:tplc="835E1A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54"/>
  <w:embedSystemFonts/>
  <w:proofState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BE"/>
    <w:rsid w:val="0000056A"/>
    <w:rsid w:val="0000138A"/>
    <w:rsid w:val="00004912"/>
    <w:rsid w:val="00005CDB"/>
    <w:rsid w:val="000076A5"/>
    <w:rsid w:val="0001181C"/>
    <w:rsid w:val="00012890"/>
    <w:rsid w:val="00014191"/>
    <w:rsid w:val="00014B43"/>
    <w:rsid w:val="000162A2"/>
    <w:rsid w:val="00017093"/>
    <w:rsid w:val="00021290"/>
    <w:rsid w:val="00021420"/>
    <w:rsid w:val="00021912"/>
    <w:rsid w:val="0003257E"/>
    <w:rsid w:val="000420C5"/>
    <w:rsid w:val="00042B32"/>
    <w:rsid w:val="0004370F"/>
    <w:rsid w:val="0004609E"/>
    <w:rsid w:val="000520C1"/>
    <w:rsid w:val="000539F8"/>
    <w:rsid w:val="00053F27"/>
    <w:rsid w:val="00054189"/>
    <w:rsid w:val="00056075"/>
    <w:rsid w:val="00056497"/>
    <w:rsid w:val="00063299"/>
    <w:rsid w:val="00067AC6"/>
    <w:rsid w:val="00070264"/>
    <w:rsid w:val="00070C25"/>
    <w:rsid w:val="0007413F"/>
    <w:rsid w:val="0007594C"/>
    <w:rsid w:val="000837CF"/>
    <w:rsid w:val="00084E16"/>
    <w:rsid w:val="00090189"/>
    <w:rsid w:val="00090311"/>
    <w:rsid w:val="000916D6"/>
    <w:rsid w:val="00093A02"/>
    <w:rsid w:val="000961FC"/>
    <w:rsid w:val="000A267A"/>
    <w:rsid w:val="000A484E"/>
    <w:rsid w:val="000A5EBE"/>
    <w:rsid w:val="000A605C"/>
    <w:rsid w:val="000B08EE"/>
    <w:rsid w:val="000B27ED"/>
    <w:rsid w:val="000B35BF"/>
    <w:rsid w:val="000B4723"/>
    <w:rsid w:val="000B64D1"/>
    <w:rsid w:val="000B65D7"/>
    <w:rsid w:val="000B6AAA"/>
    <w:rsid w:val="000B719D"/>
    <w:rsid w:val="000C0405"/>
    <w:rsid w:val="000C1105"/>
    <w:rsid w:val="000C42DD"/>
    <w:rsid w:val="000C55B6"/>
    <w:rsid w:val="000C7479"/>
    <w:rsid w:val="000C7970"/>
    <w:rsid w:val="000D1C15"/>
    <w:rsid w:val="000D436E"/>
    <w:rsid w:val="000D5ABA"/>
    <w:rsid w:val="000D62E3"/>
    <w:rsid w:val="000D65D2"/>
    <w:rsid w:val="000D69BD"/>
    <w:rsid w:val="000D745F"/>
    <w:rsid w:val="000E267C"/>
    <w:rsid w:val="000E5107"/>
    <w:rsid w:val="000E52DF"/>
    <w:rsid w:val="000E6427"/>
    <w:rsid w:val="000E70B2"/>
    <w:rsid w:val="000E744F"/>
    <w:rsid w:val="000E7D10"/>
    <w:rsid w:val="000F09E5"/>
    <w:rsid w:val="000F29F9"/>
    <w:rsid w:val="000F2EC9"/>
    <w:rsid w:val="00100906"/>
    <w:rsid w:val="00105BB5"/>
    <w:rsid w:val="00106B25"/>
    <w:rsid w:val="001070DB"/>
    <w:rsid w:val="0010779C"/>
    <w:rsid w:val="0011169D"/>
    <w:rsid w:val="0011175A"/>
    <w:rsid w:val="001138CC"/>
    <w:rsid w:val="001216C4"/>
    <w:rsid w:val="001228B4"/>
    <w:rsid w:val="001232CC"/>
    <w:rsid w:val="00131495"/>
    <w:rsid w:val="00132117"/>
    <w:rsid w:val="0013423E"/>
    <w:rsid w:val="001353F5"/>
    <w:rsid w:val="00135464"/>
    <w:rsid w:val="00135A04"/>
    <w:rsid w:val="00136676"/>
    <w:rsid w:val="00137140"/>
    <w:rsid w:val="00140B89"/>
    <w:rsid w:val="0014724E"/>
    <w:rsid w:val="00152BAE"/>
    <w:rsid w:val="0015655A"/>
    <w:rsid w:val="0016157C"/>
    <w:rsid w:val="001643AF"/>
    <w:rsid w:val="00166BC3"/>
    <w:rsid w:val="00170CBF"/>
    <w:rsid w:val="00172CF1"/>
    <w:rsid w:val="00172D33"/>
    <w:rsid w:val="00173125"/>
    <w:rsid w:val="00175533"/>
    <w:rsid w:val="001849B3"/>
    <w:rsid w:val="00187EB6"/>
    <w:rsid w:val="001952B3"/>
    <w:rsid w:val="001A60D9"/>
    <w:rsid w:val="001B11DF"/>
    <w:rsid w:val="001B2AAF"/>
    <w:rsid w:val="001B3950"/>
    <w:rsid w:val="001B3FF9"/>
    <w:rsid w:val="001B6189"/>
    <w:rsid w:val="001B6739"/>
    <w:rsid w:val="001B717D"/>
    <w:rsid w:val="001B72FF"/>
    <w:rsid w:val="001B7ABD"/>
    <w:rsid w:val="001B7BCD"/>
    <w:rsid w:val="001C07BF"/>
    <w:rsid w:val="001C0F5E"/>
    <w:rsid w:val="001C1BF7"/>
    <w:rsid w:val="001C54FD"/>
    <w:rsid w:val="001C5C4B"/>
    <w:rsid w:val="001C7DBB"/>
    <w:rsid w:val="001D2AAE"/>
    <w:rsid w:val="001D7800"/>
    <w:rsid w:val="001E150B"/>
    <w:rsid w:val="001E2CDB"/>
    <w:rsid w:val="001E2FA8"/>
    <w:rsid w:val="001E656F"/>
    <w:rsid w:val="001F4447"/>
    <w:rsid w:val="001F627F"/>
    <w:rsid w:val="001F6F52"/>
    <w:rsid w:val="00201CE5"/>
    <w:rsid w:val="002048AB"/>
    <w:rsid w:val="002059F6"/>
    <w:rsid w:val="00213881"/>
    <w:rsid w:val="00214F67"/>
    <w:rsid w:val="00216801"/>
    <w:rsid w:val="00220E57"/>
    <w:rsid w:val="00222711"/>
    <w:rsid w:val="00223F27"/>
    <w:rsid w:val="00224873"/>
    <w:rsid w:val="00231976"/>
    <w:rsid w:val="00233E4A"/>
    <w:rsid w:val="00234DA0"/>
    <w:rsid w:val="0023549B"/>
    <w:rsid w:val="00236D02"/>
    <w:rsid w:val="00244641"/>
    <w:rsid w:val="002478E4"/>
    <w:rsid w:val="00250850"/>
    <w:rsid w:val="00253C21"/>
    <w:rsid w:val="00253DDA"/>
    <w:rsid w:val="00255D18"/>
    <w:rsid w:val="00257FAC"/>
    <w:rsid w:val="002621DE"/>
    <w:rsid w:val="002642BB"/>
    <w:rsid w:val="0027345C"/>
    <w:rsid w:val="00275F62"/>
    <w:rsid w:val="00276686"/>
    <w:rsid w:val="00276E8E"/>
    <w:rsid w:val="002807C9"/>
    <w:rsid w:val="00285852"/>
    <w:rsid w:val="00292060"/>
    <w:rsid w:val="00293837"/>
    <w:rsid w:val="002A294B"/>
    <w:rsid w:val="002A37E2"/>
    <w:rsid w:val="002A4BE8"/>
    <w:rsid w:val="002A5063"/>
    <w:rsid w:val="002A6BE1"/>
    <w:rsid w:val="002B2528"/>
    <w:rsid w:val="002B299C"/>
    <w:rsid w:val="002B6DA3"/>
    <w:rsid w:val="002C1E4D"/>
    <w:rsid w:val="002C3812"/>
    <w:rsid w:val="002C3EF3"/>
    <w:rsid w:val="002C4447"/>
    <w:rsid w:val="002C5B43"/>
    <w:rsid w:val="002D36B2"/>
    <w:rsid w:val="002D7164"/>
    <w:rsid w:val="002D784A"/>
    <w:rsid w:val="002E0D1E"/>
    <w:rsid w:val="002E1272"/>
    <w:rsid w:val="002E416D"/>
    <w:rsid w:val="002E50D1"/>
    <w:rsid w:val="002E5366"/>
    <w:rsid w:val="002E715E"/>
    <w:rsid w:val="002E7A67"/>
    <w:rsid w:val="002F052E"/>
    <w:rsid w:val="002F3918"/>
    <w:rsid w:val="002F54C3"/>
    <w:rsid w:val="002F59A6"/>
    <w:rsid w:val="002F70B1"/>
    <w:rsid w:val="00300525"/>
    <w:rsid w:val="003006A8"/>
    <w:rsid w:val="00300BB7"/>
    <w:rsid w:val="00300E7F"/>
    <w:rsid w:val="003010B4"/>
    <w:rsid w:val="00302C7C"/>
    <w:rsid w:val="00306A36"/>
    <w:rsid w:val="0030704F"/>
    <w:rsid w:val="00312EDC"/>
    <w:rsid w:val="003132F1"/>
    <w:rsid w:val="00313DDC"/>
    <w:rsid w:val="00315141"/>
    <w:rsid w:val="00323258"/>
    <w:rsid w:val="00327809"/>
    <w:rsid w:val="003344C2"/>
    <w:rsid w:val="003401EB"/>
    <w:rsid w:val="003417DD"/>
    <w:rsid w:val="0034349E"/>
    <w:rsid w:val="003518DD"/>
    <w:rsid w:val="00355517"/>
    <w:rsid w:val="00355C49"/>
    <w:rsid w:val="00356961"/>
    <w:rsid w:val="00356A4A"/>
    <w:rsid w:val="0036304E"/>
    <w:rsid w:val="00363C40"/>
    <w:rsid w:val="00363EF8"/>
    <w:rsid w:val="00364D15"/>
    <w:rsid w:val="00366DDE"/>
    <w:rsid w:val="00367894"/>
    <w:rsid w:val="00371639"/>
    <w:rsid w:val="00372753"/>
    <w:rsid w:val="0037375B"/>
    <w:rsid w:val="003741F0"/>
    <w:rsid w:val="003828BB"/>
    <w:rsid w:val="003848B7"/>
    <w:rsid w:val="0039058A"/>
    <w:rsid w:val="00391AE6"/>
    <w:rsid w:val="00392CA2"/>
    <w:rsid w:val="003932F8"/>
    <w:rsid w:val="00393E97"/>
    <w:rsid w:val="0039550B"/>
    <w:rsid w:val="003955B4"/>
    <w:rsid w:val="00395A81"/>
    <w:rsid w:val="00397F38"/>
    <w:rsid w:val="003A0D42"/>
    <w:rsid w:val="003A1E22"/>
    <w:rsid w:val="003A3FC0"/>
    <w:rsid w:val="003A7C76"/>
    <w:rsid w:val="003B3F23"/>
    <w:rsid w:val="003B5292"/>
    <w:rsid w:val="003C178B"/>
    <w:rsid w:val="003C2417"/>
    <w:rsid w:val="003C5DBB"/>
    <w:rsid w:val="003C6450"/>
    <w:rsid w:val="003C7C2E"/>
    <w:rsid w:val="003D2420"/>
    <w:rsid w:val="003D465E"/>
    <w:rsid w:val="003E1E82"/>
    <w:rsid w:val="003E523E"/>
    <w:rsid w:val="003E5E64"/>
    <w:rsid w:val="003E5E8B"/>
    <w:rsid w:val="003F14F0"/>
    <w:rsid w:val="003F31C6"/>
    <w:rsid w:val="003F74B8"/>
    <w:rsid w:val="004017DB"/>
    <w:rsid w:val="00401CAF"/>
    <w:rsid w:val="00402E1E"/>
    <w:rsid w:val="00403DE3"/>
    <w:rsid w:val="0040404D"/>
    <w:rsid w:val="004047D7"/>
    <w:rsid w:val="00404E38"/>
    <w:rsid w:val="00405939"/>
    <w:rsid w:val="00414379"/>
    <w:rsid w:val="004145C4"/>
    <w:rsid w:val="00416B39"/>
    <w:rsid w:val="0041718E"/>
    <w:rsid w:val="00417788"/>
    <w:rsid w:val="004205D3"/>
    <w:rsid w:val="00421827"/>
    <w:rsid w:val="00424640"/>
    <w:rsid w:val="004247DA"/>
    <w:rsid w:val="00425B2A"/>
    <w:rsid w:val="00430672"/>
    <w:rsid w:val="00430DE4"/>
    <w:rsid w:val="00432383"/>
    <w:rsid w:val="0043349D"/>
    <w:rsid w:val="00436396"/>
    <w:rsid w:val="004364E2"/>
    <w:rsid w:val="004366EA"/>
    <w:rsid w:val="004407F0"/>
    <w:rsid w:val="0044239A"/>
    <w:rsid w:val="00442746"/>
    <w:rsid w:val="004468C9"/>
    <w:rsid w:val="00452B8A"/>
    <w:rsid w:val="00452DBE"/>
    <w:rsid w:val="00453618"/>
    <w:rsid w:val="00454304"/>
    <w:rsid w:val="00455BB2"/>
    <w:rsid w:val="00455DBE"/>
    <w:rsid w:val="00461365"/>
    <w:rsid w:val="00465843"/>
    <w:rsid w:val="004660FB"/>
    <w:rsid w:val="00466782"/>
    <w:rsid w:val="004711D8"/>
    <w:rsid w:val="00471EA6"/>
    <w:rsid w:val="00474052"/>
    <w:rsid w:val="0047569C"/>
    <w:rsid w:val="004762D3"/>
    <w:rsid w:val="004808EB"/>
    <w:rsid w:val="00481ED9"/>
    <w:rsid w:val="004832C9"/>
    <w:rsid w:val="00485B64"/>
    <w:rsid w:val="00486C91"/>
    <w:rsid w:val="00487749"/>
    <w:rsid w:val="00490246"/>
    <w:rsid w:val="004919E1"/>
    <w:rsid w:val="004A0099"/>
    <w:rsid w:val="004A0E79"/>
    <w:rsid w:val="004A3B9B"/>
    <w:rsid w:val="004A4404"/>
    <w:rsid w:val="004B0E89"/>
    <w:rsid w:val="004B3A42"/>
    <w:rsid w:val="004B3CE3"/>
    <w:rsid w:val="004B621A"/>
    <w:rsid w:val="004B6351"/>
    <w:rsid w:val="004C0818"/>
    <w:rsid w:val="004C1AF1"/>
    <w:rsid w:val="004C583F"/>
    <w:rsid w:val="004C70E6"/>
    <w:rsid w:val="004D0FBA"/>
    <w:rsid w:val="004D19BB"/>
    <w:rsid w:val="004D21CB"/>
    <w:rsid w:val="004D4E95"/>
    <w:rsid w:val="004E355F"/>
    <w:rsid w:val="004E45A1"/>
    <w:rsid w:val="004E45CC"/>
    <w:rsid w:val="004F60AC"/>
    <w:rsid w:val="004F697A"/>
    <w:rsid w:val="00502FCE"/>
    <w:rsid w:val="0050355B"/>
    <w:rsid w:val="005048C2"/>
    <w:rsid w:val="00507082"/>
    <w:rsid w:val="005100A5"/>
    <w:rsid w:val="00515A7C"/>
    <w:rsid w:val="00517FA4"/>
    <w:rsid w:val="0052040C"/>
    <w:rsid w:val="00521FB7"/>
    <w:rsid w:val="0052303C"/>
    <w:rsid w:val="00523303"/>
    <w:rsid w:val="00523670"/>
    <w:rsid w:val="00525837"/>
    <w:rsid w:val="00531396"/>
    <w:rsid w:val="00531A9A"/>
    <w:rsid w:val="005325B3"/>
    <w:rsid w:val="005337D9"/>
    <w:rsid w:val="005379C1"/>
    <w:rsid w:val="00537F0D"/>
    <w:rsid w:val="00541927"/>
    <w:rsid w:val="00541A02"/>
    <w:rsid w:val="00541DD8"/>
    <w:rsid w:val="005448BF"/>
    <w:rsid w:val="005474FC"/>
    <w:rsid w:val="00552144"/>
    <w:rsid w:val="005574B1"/>
    <w:rsid w:val="0056028B"/>
    <w:rsid w:val="00563276"/>
    <w:rsid w:val="00563423"/>
    <w:rsid w:val="005635B4"/>
    <w:rsid w:val="00563CE3"/>
    <w:rsid w:val="00566914"/>
    <w:rsid w:val="00570CE7"/>
    <w:rsid w:val="00570DE1"/>
    <w:rsid w:val="00582CA6"/>
    <w:rsid w:val="00583700"/>
    <w:rsid w:val="005838A2"/>
    <w:rsid w:val="00584B48"/>
    <w:rsid w:val="0058555C"/>
    <w:rsid w:val="005A1019"/>
    <w:rsid w:val="005A115B"/>
    <w:rsid w:val="005A21DE"/>
    <w:rsid w:val="005A779F"/>
    <w:rsid w:val="005B065A"/>
    <w:rsid w:val="005B2C5B"/>
    <w:rsid w:val="005B4CC7"/>
    <w:rsid w:val="005B6583"/>
    <w:rsid w:val="005B72AC"/>
    <w:rsid w:val="005B746C"/>
    <w:rsid w:val="005C07FE"/>
    <w:rsid w:val="005C1615"/>
    <w:rsid w:val="005C3D75"/>
    <w:rsid w:val="005C4A04"/>
    <w:rsid w:val="005C6B51"/>
    <w:rsid w:val="005D06E6"/>
    <w:rsid w:val="005D3E20"/>
    <w:rsid w:val="005D451F"/>
    <w:rsid w:val="005D5D4B"/>
    <w:rsid w:val="005D6739"/>
    <w:rsid w:val="005E1002"/>
    <w:rsid w:val="005E1070"/>
    <w:rsid w:val="005E3A35"/>
    <w:rsid w:val="005E4B9B"/>
    <w:rsid w:val="005E4CC7"/>
    <w:rsid w:val="005F0214"/>
    <w:rsid w:val="005F17DF"/>
    <w:rsid w:val="005F23D4"/>
    <w:rsid w:val="005F632E"/>
    <w:rsid w:val="005F6E53"/>
    <w:rsid w:val="005F7316"/>
    <w:rsid w:val="006015BE"/>
    <w:rsid w:val="00604B85"/>
    <w:rsid w:val="00610ED1"/>
    <w:rsid w:val="00614441"/>
    <w:rsid w:val="00615F3D"/>
    <w:rsid w:val="00617E8E"/>
    <w:rsid w:val="00620E8C"/>
    <w:rsid w:val="0062282A"/>
    <w:rsid w:val="006268AD"/>
    <w:rsid w:val="00627F40"/>
    <w:rsid w:val="00630C28"/>
    <w:rsid w:val="00631C02"/>
    <w:rsid w:val="00634AF0"/>
    <w:rsid w:val="006355A1"/>
    <w:rsid w:val="00637A6F"/>
    <w:rsid w:val="00640AC5"/>
    <w:rsid w:val="00642F7F"/>
    <w:rsid w:val="00645D2F"/>
    <w:rsid w:val="00646A2E"/>
    <w:rsid w:val="00646D82"/>
    <w:rsid w:val="00646F62"/>
    <w:rsid w:val="006536DC"/>
    <w:rsid w:val="006578AE"/>
    <w:rsid w:val="00661929"/>
    <w:rsid w:val="00663F37"/>
    <w:rsid w:val="006657BF"/>
    <w:rsid w:val="00667A9F"/>
    <w:rsid w:val="00667CBF"/>
    <w:rsid w:val="00673785"/>
    <w:rsid w:val="006757F3"/>
    <w:rsid w:val="00680670"/>
    <w:rsid w:val="006850E2"/>
    <w:rsid w:val="00692383"/>
    <w:rsid w:val="0069529B"/>
    <w:rsid w:val="006952B3"/>
    <w:rsid w:val="00695A1B"/>
    <w:rsid w:val="006A115E"/>
    <w:rsid w:val="006A4898"/>
    <w:rsid w:val="006A4F27"/>
    <w:rsid w:val="006A5E5E"/>
    <w:rsid w:val="006A6533"/>
    <w:rsid w:val="006A719C"/>
    <w:rsid w:val="006A7411"/>
    <w:rsid w:val="006A7DD7"/>
    <w:rsid w:val="006B0F27"/>
    <w:rsid w:val="006B304F"/>
    <w:rsid w:val="006B40A7"/>
    <w:rsid w:val="006B55EC"/>
    <w:rsid w:val="006C003C"/>
    <w:rsid w:val="006C28B8"/>
    <w:rsid w:val="006C3A5D"/>
    <w:rsid w:val="006C4D94"/>
    <w:rsid w:val="006C6B5C"/>
    <w:rsid w:val="006D21FA"/>
    <w:rsid w:val="006D2F0C"/>
    <w:rsid w:val="006D37C5"/>
    <w:rsid w:val="006D4897"/>
    <w:rsid w:val="006D4D91"/>
    <w:rsid w:val="006E1192"/>
    <w:rsid w:val="006E32B1"/>
    <w:rsid w:val="006E386F"/>
    <w:rsid w:val="006E603D"/>
    <w:rsid w:val="00701DAC"/>
    <w:rsid w:val="00703CE2"/>
    <w:rsid w:val="00704F8B"/>
    <w:rsid w:val="00710B72"/>
    <w:rsid w:val="007154A8"/>
    <w:rsid w:val="0072006D"/>
    <w:rsid w:val="00723540"/>
    <w:rsid w:val="00727DD3"/>
    <w:rsid w:val="007371B3"/>
    <w:rsid w:val="00741371"/>
    <w:rsid w:val="007420F6"/>
    <w:rsid w:val="00743B44"/>
    <w:rsid w:val="00745EF6"/>
    <w:rsid w:val="007470F6"/>
    <w:rsid w:val="00747C42"/>
    <w:rsid w:val="0075203B"/>
    <w:rsid w:val="007533F0"/>
    <w:rsid w:val="00757F30"/>
    <w:rsid w:val="0076096A"/>
    <w:rsid w:val="0076676C"/>
    <w:rsid w:val="007744E0"/>
    <w:rsid w:val="0077523F"/>
    <w:rsid w:val="00775B48"/>
    <w:rsid w:val="00775F55"/>
    <w:rsid w:val="0078339B"/>
    <w:rsid w:val="00786B3F"/>
    <w:rsid w:val="00791680"/>
    <w:rsid w:val="00792EBD"/>
    <w:rsid w:val="00792FD6"/>
    <w:rsid w:val="0079435D"/>
    <w:rsid w:val="00794ADD"/>
    <w:rsid w:val="00797B91"/>
    <w:rsid w:val="007A19B0"/>
    <w:rsid w:val="007A20D6"/>
    <w:rsid w:val="007A3B71"/>
    <w:rsid w:val="007A5D68"/>
    <w:rsid w:val="007A715F"/>
    <w:rsid w:val="007B1FD1"/>
    <w:rsid w:val="007B30C6"/>
    <w:rsid w:val="007B5B47"/>
    <w:rsid w:val="007C1151"/>
    <w:rsid w:val="007C7617"/>
    <w:rsid w:val="007C7F3D"/>
    <w:rsid w:val="007D088F"/>
    <w:rsid w:val="007D21C4"/>
    <w:rsid w:val="007D4935"/>
    <w:rsid w:val="007D66F1"/>
    <w:rsid w:val="007D72FE"/>
    <w:rsid w:val="007D76A3"/>
    <w:rsid w:val="007E0991"/>
    <w:rsid w:val="007E0D59"/>
    <w:rsid w:val="007E1062"/>
    <w:rsid w:val="007E2348"/>
    <w:rsid w:val="007E366E"/>
    <w:rsid w:val="007E7E5C"/>
    <w:rsid w:val="007F1019"/>
    <w:rsid w:val="007F2685"/>
    <w:rsid w:val="007F46B7"/>
    <w:rsid w:val="007F5BE7"/>
    <w:rsid w:val="007F6043"/>
    <w:rsid w:val="00800B14"/>
    <w:rsid w:val="00801DF3"/>
    <w:rsid w:val="00801E66"/>
    <w:rsid w:val="00802380"/>
    <w:rsid w:val="00802A8C"/>
    <w:rsid w:val="0080350D"/>
    <w:rsid w:val="0081197D"/>
    <w:rsid w:val="00814593"/>
    <w:rsid w:val="00821E15"/>
    <w:rsid w:val="0082725A"/>
    <w:rsid w:val="008303B2"/>
    <w:rsid w:val="00832530"/>
    <w:rsid w:val="00837024"/>
    <w:rsid w:val="00842739"/>
    <w:rsid w:val="0084301F"/>
    <w:rsid w:val="008430A3"/>
    <w:rsid w:val="00843958"/>
    <w:rsid w:val="0085059B"/>
    <w:rsid w:val="008517AE"/>
    <w:rsid w:val="00851AF0"/>
    <w:rsid w:val="00851D68"/>
    <w:rsid w:val="00854A24"/>
    <w:rsid w:val="008551E6"/>
    <w:rsid w:val="00861241"/>
    <w:rsid w:val="008618FC"/>
    <w:rsid w:val="00862289"/>
    <w:rsid w:val="008638EE"/>
    <w:rsid w:val="0086437C"/>
    <w:rsid w:val="00865BF0"/>
    <w:rsid w:val="0086615B"/>
    <w:rsid w:val="00867C1B"/>
    <w:rsid w:val="008706B4"/>
    <w:rsid w:val="00871877"/>
    <w:rsid w:val="00871A1A"/>
    <w:rsid w:val="00872717"/>
    <w:rsid w:val="00874527"/>
    <w:rsid w:val="008759A0"/>
    <w:rsid w:val="008802D7"/>
    <w:rsid w:val="00882241"/>
    <w:rsid w:val="0088444C"/>
    <w:rsid w:val="00885DFB"/>
    <w:rsid w:val="008875E5"/>
    <w:rsid w:val="008913B5"/>
    <w:rsid w:val="00893687"/>
    <w:rsid w:val="008A3F21"/>
    <w:rsid w:val="008A4A6A"/>
    <w:rsid w:val="008A4AB4"/>
    <w:rsid w:val="008A73E7"/>
    <w:rsid w:val="008B1CCA"/>
    <w:rsid w:val="008B3029"/>
    <w:rsid w:val="008B3AA0"/>
    <w:rsid w:val="008B7813"/>
    <w:rsid w:val="008B7C09"/>
    <w:rsid w:val="008C0F47"/>
    <w:rsid w:val="008C4187"/>
    <w:rsid w:val="008C51FC"/>
    <w:rsid w:val="008C6479"/>
    <w:rsid w:val="008C6F0A"/>
    <w:rsid w:val="008C75C0"/>
    <w:rsid w:val="008D39A5"/>
    <w:rsid w:val="008D3C15"/>
    <w:rsid w:val="008F4403"/>
    <w:rsid w:val="008F581F"/>
    <w:rsid w:val="008F5AC9"/>
    <w:rsid w:val="008F621C"/>
    <w:rsid w:val="008F68B9"/>
    <w:rsid w:val="00901176"/>
    <w:rsid w:val="00901E93"/>
    <w:rsid w:val="00903EB8"/>
    <w:rsid w:val="00910675"/>
    <w:rsid w:val="0091367B"/>
    <w:rsid w:val="0091485B"/>
    <w:rsid w:val="00915B95"/>
    <w:rsid w:val="00916B80"/>
    <w:rsid w:val="009206C3"/>
    <w:rsid w:val="009209A6"/>
    <w:rsid w:val="0092265D"/>
    <w:rsid w:val="00924ED4"/>
    <w:rsid w:val="00925BE7"/>
    <w:rsid w:val="0092686D"/>
    <w:rsid w:val="00926CB7"/>
    <w:rsid w:val="009336AF"/>
    <w:rsid w:val="00943960"/>
    <w:rsid w:val="009501A3"/>
    <w:rsid w:val="00951F1B"/>
    <w:rsid w:val="00951F84"/>
    <w:rsid w:val="00954846"/>
    <w:rsid w:val="0095683C"/>
    <w:rsid w:val="00957C9A"/>
    <w:rsid w:val="00960305"/>
    <w:rsid w:val="00961CFC"/>
    <w:rsid w:val="009655A0"/>
    <w:rsid w:val="00971D03"/>
    <w:rsid w:val="00974BF5"/>
    <w:rsid w:val="0097554E"/>
    <w:rsid w:val="009767FE"/>
    <w:rsid w:val="0097768F"/>
    <w:rsid w:val="009776AE"/>
    <w:rsid w:val="00981FF9"/>
    <w:rsid w:val="009870E9"/>
    <w:rsid w:val="009912CA"/>
    <w:rsid w:val="00995DEB"/>
    <w:rsid w:val="009A0F49"/>
    <w:rsid w:val="009A2166"/>
    <w:rsid w:val="009A2DA2"/>
    <w:rsid w:val="009A3DCA"/>
    <w:rsid w:val="009A491B"/>
    <w:rsid w:val="009A7E79"/>
    <w:rsid w:val="009B0876"/>
    <w:rsid w:val="009B0B91"/>
    <w:rsid w:val="009B4F76"/>
    <w:rsid w:val="009B61A8"/>
    <w:rsid w:val="009B6FDB"/>
    <w:rsid w:val="009C0C06"/>
    <w:rsid w:val="009C26C0"/>
    <w:rsid w:val="009C3709"/>
    <w:rsid w:val="009C562D"/>
    <w:rsid w:val="009D1882"/>
    <w:rsid w:val="009D4224"/>
    <w:rsid w:val="009D47B3"/>
    <w:rsid w:val="009E13B5"/>
    <w:rsid w:val="009E1410"/>
    <w:rsid w:val="009E2F16"/>
    <w:rsid w:val="009F2689"/>
    <w:rsid w:val="009F31C9"/>
    <w:rsid w:val="009F3E5F"/>
    <w:rsid w:val="00A0244C"/>
    <w:rsid w:val="00A025C6"/>
    <w:rsid w:val="00A048C3"/>
    <w:rsid w:val="00A05A02"/>
    <w:rsid w:val="00A061CB"/>
    <w:rsid w:val="00A10B2F"/>
    <w:rsid w:val="00A1256B"/>
    <w:rsid w:val="00A12AE9"/>
    <w:rsid w:val="00A1444B"/>
    <w:rsid w:val="00A17B11"/>
    <w:rsid w:val="00A23BD9"/>
    <w:rsid w:val="00A31144"/>
    <w:rsid w:val="00A353FF"/>
    <w:rsid w:val="00A4266C"/>
    <w:rsid w:val="00A43AF2"/>
    <w:rsid w:val="00A450BB"/>
    <w:rsid w:val="00A45957"/>
    <w:rsid w:val="00A45F62"/>
    <w:rsid w:val="00A47902"/>
    <w:rsid w:val="00A5155A"/>
    <w:rsid w:val="00A531DB"/>
    <w:rsid w:val="00A57142"/>
    <w:rsid w:val="00A62248"/>
    <w:rsid w:val="00A6228B"/>
    <w:rsid w:val="00A646AD"/>
    <w:rsid w:val="00A70499"/>
    <w:rsid w:val="00A752ED"/>
    <w:rsid w:val="00A7541B"/>
    <w:rsid w:val="00A762F1"/>
    <w:rsid w:val="00A769AF"/>
    <w:rsid w:val="00A76E9A"/>
    <w:rsid w:val="00A77265"/>
    <w:rsid w:val="00A80FBE"/>
    <w:rsid w:val="00A8266B"/>
    <w:rsid w:val="00A845D3"/>
    <w:rsid w:val="00A861A8"/>
    <w:rsid w:val="00AA0C90"/>
    <w:rsid w:val="00AA554A"/>
    <w:rsid w:val="00AA5B01"/>
    <w:rsid w:val="00AA7775"/>
    <w:rsid w:val="00AB1127"/>
    <w:rsid w:val="00AB129E"/>
    <w:rsid w:val="00AB2981"/>
    <w:rsid w:val="00AB2F4E"/>
    <w:rsid w:val="00AB643D"/>
    <w:rsid w:val="00AC4AB9"/>
    <w:rsid w:val="00AC5512"/>
    <w:rsid w:val="00AD059B"/>
    <w:rsid w:val="00AD119E"/>
    <w:rsid w:val="00AD1EEB"/>
    <w:rsid w:val="00AD2F40"/>
    <w:rsid w:val="00AD4FB0"/>
    <w:rsid w:val="00AD5856"/>
    <w:rsid w:val="00AD7230"/>
    <w:rsid w:val="00AE0392"/>
    <w:rsid w:val="00AE2D36"/>
    <w:rsid w:val="00AE406F"/>
    <w:rsid w:val="00AF0385"/>
    <w:rsid w:val="00AF4AEA"/>
    <w:rsid w:val="00B00C56"/>
    <w:rsid w:val="00B02AB9"/>
    <w:rsid w:val="00B02B37"/>
    <w:rsid w:val="00B03AD5"/>
    <w:rsid w:val="00B10F39"/>
    <w:rsid w:val="00B158CC"/>
    <w:rsid w:val="00B170F7"/>
    <w:rsid w:val="00B176D0"/>
    <w:rsid w:val="00B1788C"/>
    <w:rsid w:val="00B20D03"/>
    <w:rsid w:val="00B20DFD"/>
    <w:rsid w:val="00B20F95"/>
    <w:rsid w:val="00B233D2"/>
    <w:rsid w:val="00B23B79"/>
    <w:rsid w:val="00B25707"/>
    <w:rsid w:val="00B3495D"/>
    <w:rsid w:val="00B34A1C"/>
    <w:rsid w:val="00B3679D"/>
    <w:rsid w:val="00B414EA"/>
    <w:rsid w:val="00B47FAE"/>
    <w:rsid w:val="00B503C3"/>
    <w:rsid w:val="00B5262B"/>
    <w:rsid w:val="00B624A1"/>
    <w:rsid w:val="00B6508B"/>
    <w:rsid w:val="00B70B74"/>
    <w:rsid w:val="00B75084"/>
    <w:rsid w:val="00B75933"/>
    <w:rsid w:val="00B75C98"/>
    <w:rsid w:val="00B80911"/>
    <w:rsid w:val="00B84585"/>
    <w:rsid w:val="00B84A82"/>
    <w:rsid w:val="00B949A9"/>
    <w:rsid w:val="00BA094B"/>
    <w:rsid w:val="00BA0D87"/>
    <w:rsid w:val="00BA3ACC"/>
    <w:rsid w:val="00BA42AA"/>
    <w:rsid w:val="00BA4788"/>
    <w:rsid w:val="00BA5C35"/>
    <w:rsid w:val="00BA7CD4"/>
    <w:rsid w:val="00BB2323"/>
    <w:rsid w:val="00BB401B"/>
    <w:rsid w:val="00BB44AB"/>
    <w:rsid w:val="00BB7392"/>
    <w:rsid w:val="00BC1EFB"/>
    <w:rsid w:val="00BC2030"/>
    <w:rsid w:val="00BC47AE"/>
    <w:rsid w:val="00BD0A8F"/>
    <w:rsid w:val="00BD20FB"/>
    <w:rsid w:val="00BD2810"/>
    <w:rsid w:val="00BE0014"/>
    <w:rsid w:val="00BE0C82"/>
    <w:rsid w:val="00BE32DB"/>
    <w:rsid w:val="00BE5310"/>
    <w:rsid w:val="00BF3558"/>
    <w:rsid w:val="00BF5238"/>
    <w:rsid w:val="00BF6DD2"/>
    <w:rsid w:val="00C016FA"/>
    <w:rsid w:val="00C02AE7"/>
    <w:rsid w:val="00C065EE"/>
    <w:rsid w:val="00C07C82"/>
    <w:rsid w:val="00C13CE6"/>
    <w:rsid w:val="00C147AE"/>
    <w:rsid w:val="00C15259"/>
    <w:rsid w:val="00C200EF"/>
    <w:rsid w:val="00C2088D"/>
    <w:rsid w:val="00C21D51"/>
    <w:rsid w:val="00C23DB4"/>
    <w:rsid w:val="00C30FB4"/>
    <w:rsid w:val="00C31B29"/>
    <w:rsid w:val="00C341DD"/>
    <w:rsid w:val="00C40178"/>
    <w:rsid w:val="00C419A3"/>
    <w:rsid w:val="00C43656"/>
    <w:rsid w:val="00C50B08"/>
    <w:rsid w:val="00C6112F"/>
    <w:rsid w:val="00C63ABF"/>
    <w:rsid w:val="00C64379"/>
    <w:rsid w:val="00C64BDA"/>
    <w:rsid w:val="00C67B4C"/>
    <w:rsid w:val="00C67D8B"/>
    <w:rsid w:val="00C72598"/>
    <w:rsid w:val="00C755FD"/>
    <w:rsid w:val="00C80CBF"/>
    <w:rsid w:val="00C855D0"/>
    <w:rsid w:val="00C8609C"/>
    <w:rsid w:val="00C878C2"/>
    <w:rsid w:val="00C87F58"/>
    <w:rsid w:val="00C94BA1"/>
    <w:rsid w:val="00CA24AA"/>
    <w:rsid w:val="00CB3802"/>
    <w:rsid w:val="00CB48E0"/>
    <w:rsid w:val="00CB4A3A"/>
    <w:rsid w:val="00CB60DF"/>
    <w:rsid w:val="00CB686E"/>
    <w:rsid w:val="00CB6EEB"/>
    <w:rsid w:val="00CC09F3"/>
    <w:rsid w:val="00CC1045"/>
    <w:rsid w:val="00CC1F38"/>
    <w:rsid w:val="00CC5122"/>
    <w:rsid w:val="00CC6637"/>
    <w:rsid w:val="00CC6E87"/>
    <w:rsid w:val="00CD2975"/>
    <w:rsid w:val="00CD53C3"/>
    <w:rsid w:val="00CD61B7"/>
    <w:rsid w:val="00CE02B1"/>
    <w:rsid w:val="00CE4BB4"/>
    <w:rsid w:val="00CE6060"/>
    <w:rsid w:val="00CE67DC"/>
    <w:rsid w:val="00CF1DB1"/>
    <w:rsid w:val="00CF3ADD"/>
    <w:rsid w:val="00CF75C0"/>
    <w:rsid w:val="00D007C5"/>
    <w:rsid w:val="00D02275"/>
    <w:rsid w:val="00D05679"/>
    <w:rsid w:val="00D0723B"/>
    <w:rsid w:val="00D134CB"/>
    <w:rsid w:val="00D13FA4"/>
    <w:rsid w:val="00D170A0"/>
    <w:rsid w:val="00D1725A"/>
    <w:rsid w:val="00D20293"/>
    <w:rsid w:val="00D202CC"/>
    <w:rsid w:val="00D23272"/>
    <w:rsid w:val="00D25309"/>
    <w:rsid w:val="00D328CF"/>
    <w:rsid w:val="00D34733"/>
    <w:rsid w:val="00D348A5"/>
    <w:rsid w:val="00D42981"/>
    <w:rsid w:val="00D44CFD"/>
    <w:rsid w:val="00D45036"/>
    <w:rsid w:val="00D47A14"/>
    <w:rsid w:val="00D506BE"/>
    <w:rsid w:val="00D50DF5"/>
    <w:rsid w:val="00D50E59"/>
    <w:rsid w:val="00D52FE9"/>
    <w:rsid w:val="00D544D7"/>
    <w:rsid w:val="00D6118E"/>
    <w:rsid w:val="00D621A2"/>
    <w:rsid w:val="00D666EE"/>
    <w:rsid w:val="00D6799E"/>
    <w:rsid w:val="00D72DAA"/>
    <w:rsid w:val="00D73BF4"/>
    <w:rsid w:val="00D73E3D"/>
    <w:rsid w:val="00D73F7F"/>
    <w:rsid w:val="00D74BAA"/>
    <w:rsid w:val="00D80DB5"/>
    <w:rsid w:val="00D81DA2"/>
    <w:rsid w:val="00D83997"/>
    <w:rsid w:val="00D931C1"/>
    <w:rsid w:val="00DA0289"/>
    <w:rsid w:val="00DA095A"/>
    <w:rsid w:val="00DA2090"/>
    <w:rsid w:val="00DA23F2"/>
    <w:rsid w:val="00DB0B4D"/>
    <w:rsid w:val="00DB3B5B"/>
    <w:rsid w:val="00DB4D54"/>
    <w:rsid w:val="00DB581E"/>
    <w:rsid w:val="00DC29E9"/>
    <w:rsid w:val="00DC3949"/>
    <w:rsid w:val="00DD0161"/>
    <w:rsid w:val="00DD0B13"/>
    <w:rsid w:val="00DD2D42"/>
    <w:rsid w:val="00DD3D3A"/>
    <w:rsid w:val="00DD6969"/>
    <w:rsid w:val="00DF05C6"/>
    <w:rsid w:val="00DF2070"/>
    <w:rsid w:val="00DF3307"/>
    <w:rsid w:val="00DF57C5"/>
    <w:rsid w:val="00E0456B"/>
    <w:rsid w:val="00E063BF"/>
    <w:rsid w:val="00E07124"/>
    <w:rsid w:val="00E11B34"/>
    <w:rsid w:val="00E21683"/>
    <w:rsid w:val="00E25CC2"/>
    <w:rsid w:val="00E32412"/>
    <w:rsid w:val="00E33B92"/>
    <w:rsid w:val="00E3403C"/>
    <w:rsid w:val="00E42820"/>
    <w:rsid w:val="00E433D4"/>
    <w:rsid w:val="00E463B9"/>
    <w:rsid w:val="00E46A39"/>
    <w:rsid w:val="00E50A0B"/>
    <w:rsid w:val="00E51583"/>
    <w:rsid w:val="00E51B0B"/>
    <w:rsid w:val="00E51CA1"/>
    <w:rsid w:val="00E52B9C"/>
    <w:rsid w:val="00E57EA4"/>
    <w:rsid w:val="00E70A97"/>
    <w:rsid w:val="00E71DC6"/>
    <w:rsid w:val="00E74C28"/>
    <w:rsid w:val="00E752C2"/>
    <w:rsid w:val="00E75B6A"/>
    <w:rsid w:val="00E82475"/>
    <w:rsid w:val="00E84699"/>
    <w:rsid w:val="00E86A40"/>
    <w:rsid w:val="00E878DB"/>
    <w:rsid w:val="00E91127"/>
    <w:rsid w:val="00E94C64"/>
    <w:rsid w:val="00E952BE"/>
    <w:rsid w:val="00EA14F2"/>
    <w:rsid w:val="00EA57BB"/>
    <w:rsid w:val="00EA6FB9"/>
    <w:rsid w:val="00EA72CC"/>
    <w:rsid w:val="00EB6299"/>
    <w:rsid w:val="00EB6AB1"/>
    <w:rsid w:val="00EC0C4F"/>
    <w:rsid w:val="00EC15E0"/>
    <w:rsid w:val="00EC1F37"/>
    <w:rsid w:val="00EC5764"/>
    <w:rsid w:val="00ED361B"/>
    <w:rsid w:val="00ED3E9F"/>
    <w:rsid w:val="00EE2C20"/>
    <w:rsid w:val="00EE7C21"/>
    <w:rsid w:val="00EE7D09"/>
    <w:rsid w:val="00EF48BA"/>
    <w:rsid w:val="00EF5031"/>
    <w:rsid w:val="00EF52FC"/>
    <w:rsid w:val="00EF7B35"/>
    <w:rsid w:val="00F0207C"/>
    <w:rsid w:val="00F02BE0"/>
    <w:rsid w:val="00F063D6"/>
    <w:rsid w:val="00F11C68"/>
    <w:rsid w:val="00F123B8"/>
    <w:rsid w:val="00F13F9F"/>
    <w:rsid w:val="00F21E64"/>
    <w:rsid w:val="00F240ED"/>
    <w:rsid w:val="00F3065B"/>
    <w:rsid w:val="00F320E9"/>
    <w:rsid w:val="00F36EE0"/>
    <w:rsid w:val="00F371A3"/>
    <w:rsid w:val="00F37FCD"/>
    <w:rsid w:val="00F440E9"/>
    <w:rsid w:val="00F458B1"/>
    <w:rsid w:val="00F46EB3"/>
    <w:rsid w:val="00F47280"/>
    <w:rsid w:val="00F4798D"/>
    <w:rsid w:val="00F47D75"/>
    <w:rsid w:val="00F50CA2"/>
    <w:rsid w:val="00F56B5D"/>
    <w:rsid w:val="00F70922"/>
    <w:rsid w:val="00F71878"/>
    <w:rsid w:val="00F75FB0"/>
    <w:rsid w:val="00F82AB6"/>
    <w:rsid w:val="00F82B53"/>
    <w:rsid w:val="00F872C9"/>
    <w:rsid w:val="00F907BC"/>
    <w:rsid w:val="00F91143"/>
    <w:rsid w:val="00F911FC"/>
    <w:rsid w:val="00F92FFD"/>
    <w:rsid w:val="00F94191"/>
    <w:rsid w:val="00F946E1"/>
    <w:rsid w:val="00FA0511"/>
    <w:rsid w:val="00FA5C4B"/>
    <w:rsid w:val="00FA6486"/>
    <w:rsid w:val="00FB23AB"/>
    <w:rsid w:val="00FB464D"/>
    <w:rsid w:val="00FC05F1"/>
    <w:rsid w:val="00FC4549"/>
    <w:rsid w:val="00FC5228"/>
    <w:rsid w:val="00FC671C"/>
    <w:rsid w:val="00FC69EE"/>
    <w:rsid w:val="00FC6C74"/>
    <w:rsid w:val="00FC776B"/>
    <w:rsid w:val="00FD2816"/>
    <w:rsid w:val="00FD350A"/>
    <w:rsid w:val="00FD3A9E"/>
    <w:rsid w:val="00FD3BF8"/>
    <w:rsid w:val="00FD3C99"/>
    <w:rsid w:val="00FE0A63"/>
    <w:rsid w:val="00FE50DC"/>
    <w:rsid w:val="00FE7FB7"/>
    <w:rsid w:val="00FF1E59"/>
    <w:rsid w:val="00FF2948"/>
    <w:rsid w:val="00FF30F9"/>
    <w:rsid w:val="00FF3148"/>
    <w:rsid w:val="00FF474D"/>
    <w:rsid w:val="00FF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3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aliases w:val=" Знак2 Знак Знак Знак1"/>
    <w:link w:val="2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"/>
    <w:basedOn w:val="a"/>
    <w:link w:val="a4"/>
    <w:rsid w:val="00C67B4C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67B4C"/>
  </w:style>
  <w:style w:type="character" w:customStyle="1" w:styleId="a4">
    <w:name w:val="Верхній колонтитул Знак"/>
    <w:aliases w:val=" Знак Знак"/>
    <w:link w:val="a3"/>
    <w:rsid w:val="00745EF6"/>
    <w:rPr>
      <w:rFonts w:ascii="Calibri" w:eastAsia="Calibri" w:hAnsi="Calibri"/>
      <w:sz w:val="22"/>
      <w:szCs w:val="22"/>
      <w:lang w:val="uk-UA" w:eastAsia="en-US" w:bidi="ar-SA"/>
    </w:rPr>
  </w:style>
  <w:style w:type="paragraph" w:styleId="a6">
    <w:name w:val="footer"/>
    <w:basedOn w:val="a"/>
    <w:rsid w:val="00C21D51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5E107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1">
    <w:name w:val=" Знак Знак Знак1 Знак Знак Знак Знак Знак Знак Знак Знак Знак Знак Знак"/>
    <w:basedOn w:val="a"/>
    <w:rsid w:val="005E1070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10">
    <w:name w:val=" Знак1"/>
    <w:basedOn w:val="a"/>
    <w:rsid w:val="00EA72CC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a8">
    <w:name w:val=" Знак Знак Знак Знак Знак Знак Знак Знак Знак Знак Знак Знак Знак"/>
    <w:basedOn w:val="a"/>
    <w:rsid w:val="005A10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222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222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9">
    <w:name w:val="Hyperlink"/>
    <w:rsid w:val="00C50B08"/>
    <w:rPr>
      <w:color w:val="0000FF"/>
      <w:u w:val="single"/>
    </w:rPr>
  </w:style>
  <w:style w:type="paragraph" w:customStyle="1" w:styleId="rvps1">
    <w:name w:val="rvps1"/>
    <w:basedOn w:val="a"/>
    <w:rsid w:val="00355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">
    <w:name w:val="rvps9"/>
    <w:basedOn w:val="a"/>
    <w:rsid w:val="00355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355517"/>
  </w:style>
  <w:style w:type="character" w:customStyle="1" w:styleId="fontstyle01">
    <w:name w:val="fontstyle01"/>
    <w:rsid w:val="00302C7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0">
    <w:name w:val=" Знак2"/>
    <w:basedOn w:val="a"/>
    <w:rsid w:val="004A4404"/>
    <w:pPr>
      <w:spacing w:after="0" w:line="240" w:lineRule="auto"/>
      <w:ind w:firstLine="720"/>
      <w:jc w:val="both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21">
    <w:name w:val=" Знак2 Знак Знак Знак"/>
    <w:basedOn w:val="a"/>
    <w:link w:val="a0"/>
    <w:rsid w:val="00401CAF"/>
    <w:pPr>
      <w:spacing w:after="0" w:line="240" w:lineRule="auto"/>
      <w:ind w:firstLine="720"/>
      <w:jc w:val="both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2">
    <w:name w:val=" Знак2 Знак Знак"/>
    <w:basedOn w:val="a"/>
    <w:link w:val="a0"/>
    <w:rsid w:val="00FC6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5F2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5F23D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3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aliases w:val=" Знак2 Знак Знак Знак1"/>
    <w:link w:val="2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"/>
    <w:basedOn w:val="a"/>
    <w:link w:val="a4"/>
    <w:rsid w:val="00C67B4C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67B4C"/>
  </w:style>
  <w:style w:type="character" w:customStyle="1" w:styleId="a4">
    <w:name w:val="Верхній колонтитул Знак"/>
    <w:aliases w:val=" Знак Знак"/>
    <w:link w:val="a3"/>
    <w:rsid w:val="00745EF6"/>
    <w:rPr>
      <w:rFonts w:ascii="Calibri" w:eastAsia="Calibri" w:hAnsi="Calibri"/>
      <w:sz w:val="22"/>
      <w:szCs w:val="22"/>
      <w:lang w:val="uk-UA" w:eastAsia="en-US" w:bidi="ar-SA"/>
    </w:rPr>
  </w:style>
  <w:style w:type="paragraph" w:styleId="a6">
    <w:name w:val="footer"/>
    <w:basedOn w:val="a"/>
    <w:rsid w:val="00C21D51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5E107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1">
    <w:name w:val=" Знак Знак Знак1 Знак Знак Знак Знак Знак Знак Знак Знак Знак Знак Знак"/>
    <w:basedOn w:val="a"/>
    <w:rsid w:val="005E1070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10">
    <w:name w:val=" Знак1"/>
    <w:basedOn w:val="a"/>
    <w:rsid w:val="00EA72CC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a8">
    <w:name w:val=" Знак Знак Знак Знак Знак Знак Знак Знак Знак Знак Знак Знак Знак"/>
    <w:basedOn w:val="a"/>
    <w:rsid w:val="005A10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222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222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9">
    <w:name w:val="Hyperlink"/>
    <w:rsid w:val="00C50B08"/>
    <w:rPr>
      <w:color w:val="0000FF"/>
      <w:u w:val="single"/>
    </w:rPr>
  </w:style>
  <w:style w:type="paragraph" w:customStyle="1" w:styleId="rvps1">
    <w:name w:val="rvps1"/>
    <w:basedOn w:val="a"/>
    <w:rsid w:val="00355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">
    <w:name w:val="rvps9"/>
    <w:basedOn w:val="a"/>
    <w:rsid w:val="00355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355517"/>
  </w:style>
  <w:style w:type="character" w:customStyle="1" w:styleId="fontstyle01">
    <w:name w:val="fontstyle01"/>
    <w:rsid w:val="00302C7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0">
    <w:name w:val=" Знак2"/>
    <w:basedOn w:val="a"/>
    <w:rsid w:val="004A4404"/>
    <w:pPr>
      <w:spacing w:after="0" w:line="240" w:lineRule="auto"/>
      <w:ind w:firstLine="720"/>
      <w:jc w:val="both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21">
    <w:name w:val=" Знак2 Знак Знак Знак"/>
    <w:basedOn w:val="a"/>
    <w:link w:val="a0"/>
    <w:rsid w:val="00401CAF"/>
    <w:pPr>
      <w:spacing w:after="0" w:line="240" w:lineRule="auto"/>
      <w:ind w:firstLine="720"/>
      <w:jc w:val="both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2">
    <w:name w:val=" Знак2 Знак Знак"/>
    <w:basedOn w:val="a"/>
    <w:link w:val="a0"/>
    <w:rsid w:val="00FC6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5F2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5F23D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2456-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11197</Words>
  <Characters>6383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17545</CharactersWithSpaces>
  <SharedDoc>false</SharedDoc>
  <HLinks>
    <vt:vector size="6" baseType="variant">
      <vt:variant>
        <vt:i4>7864439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https://zakon.rada.gov.ua/rada/show/2456-17</vt:lpwstr>
      </vt:variant>
      <vt:variant>
        <vt:lpwstr>n1239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budget-krystyna</dc:creator>
  <cp:lastModifiedBy>Yaroslav Vodonis</cp:lastModifiedBy>
  <cp:revision>2</cp:revision>
  <cp:lastPrinted>2024-05-03T07:22:00Z</cp:lastPrinted>
  <dcterms:created xsi:type="dcterms:W3CDTF">2024-05-27T11:51:00Z</dcterms:created>
  <dcterms:modified xsi:type="dcterms:W3CDTF">2024-05-27T11:51:00Z</dcterms:modified>
</cp:coreProperties>
</file>