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74D" w:rsidRPr="00923E96" w:rsidRDefault="0059274D" w:rsidP="0059274D">
      <w:pPr>
        <w:spacing w:after="0" w:line="276" w:lineRule="auto"/>
        <w:ind w:left="567"/>
        <w:jc w:val="right"/>
        <w:rPr>
          <w:rFonts w:ascii="Times New Roman" w:eastAsia="Times New Roman" w:hAnsi="Times New Roman" w:cs="Times New Roman"/>
          <w:b/>
          <w:sz w:val="28"/>
          <w:szCs w:val="28"/>
          <w:lang w:val="uk-UA"/>
        </w:rPr>
      </w:pPr>
      <w:r w:rsidRPr="00923E96">
        <w:rPr>
          <w:rFonts w:ascii="Times New Roman" w:eastAsia="Times New Roman" w:hAnsi="Times New Roman" w:cs="Times New Roman"/>
          <w:sz w:val="28"/>
          <w:szCs w:val="28"/>
          <w:lang w:val="uk-UA"/>
        </w:rPr>
        <w:t>Додаток 4</w:t>
      </w:r>
      <w:r w:rsidRPr="00923E96">
        <w:rPr>
          <w:rFonts w:ascii="Times New Roman" w:eastAsia="Times New Roman" w:hAnsi="Times New Roman" w:cs="Times New Roman"/>
          <w:sz w:val="28"/>
          <w:szCs w:val="28"/>
          <w:lang w:val="uk-UA"/>
        </w:rPr>
        <w:br/>
        <w:t>до Програми</w:t>
      </w:r>
    </w:p>
    <w:p w:rsidR="0059274D" w:rsidRPr="00923E96" w:rsidRDefault="0059274D" w:rsidP="0059274D">
      <w:pPr>
        <w:spacing w:after="0" w:line="240" w:lineRule="auto"/>
        <w:jc w:val="center"/>
        <w:rPr>
          <w:rFonts w:ascii="Times New Roman" w:eastAsia="Times New Roman" w:hAnsi="Times New Roman" w:cs="Times New Roman"/>
          <w:b/>
          <w:sz w:val="28"/>
          <w:szCs w:val="28"/>
          <w:lang w:val="uk-UA"/>
        </w:rPr>
      </w:pPr>
      <w:r w:rsidRPr="00923E96">
        <w:rPr>
          <w:rFonts w:ascii="Times New Roman" w:eastAsia="Times New Roman" w:hAnsi="Times New Roman" w:cs="Times New Roman"/>
          <w:b/>
          <w:sz w:val="28"/>
          <w:szCs w:val="28"/>
          <w:lang w:val="uk-UA"/>
        </w:rPr>
        <w:t>ЗАВДАННЯ</w:t>
      </w:r>
      <w:r w:rsidRPr="00923E96">
        <w:rPr>
          <w:rFonts w:ascii="Times New Roman" w:eastAsia="Times New Roman" w:hAnsi="Times New Roman" w:cs="Times New Roman"/>
          <w:b/>
          <w:sz w:val="28"/>
          <w:szCs w:val="28"/>
          <w:lang w:val="uk-UA"/>
        </w:rPr>
        <w:br/>
        <w:t>Регіональної програми інформатизації «Цифрова Львівщина»</w:t>
      </w:r>
    </w:p>
    <w:p w:rsidR="0059274D" w:rsidRDefault="0059274D" w:rsidP="0059274D">
      <w:pPr>
        <w:spacing w:after="0" w:line="240" w:lineRule="auto"/>
        <w:jc w:val="center"/>
        <w:rPr>
          <w:rFonts w:ascii="Times New Roman" w:eastAsia="Times New Roman" w:hAnsi="Times New Roman" w:cs="Times New Roman"/>
          <w:b/>
          <w:sz w:val="28"/>
          <w:szCs w:val="28"/>
          <w:lang w:val="uk-UA"/>
        </w:rPr>
      </w:pPr>
      <w:r w:rsidRPr="00923E96">
        <w:rPr>
          <w:rFonts w:ascii="Times New Roman" w:eastAsia="Times New Roman" w:hAnsi="Times New Roman" w:cs="Times New Roman"/>
          <w:b/>
          <w:sz w:val="28"/>
          <w:szCs w:val="28"/>
          <w:lang w:val="uk-UA"/>
        </w:rPr>
        <w:t>на 2022 бюджетний рік</w:t>
      </w:r>
    </w:p>
    <w:p w:rsidR="0059274D" w:rsidRPr="00923E96" w:rsidRDefault="0059274D" w:rsidP="0059274D">
      <w:pPr>
        <w:spacing w:after="0" w:line="240" w:lineRule="auto"/>
        <w:jc w:val="center"/>
        <w:rPr>
          <w:rFonts w:ascii="Times New Roman" w:eastAsia="Times New Roman" w:hAnsi="Times New Roman" w:cs="Times New Roman"/>
          <w:b/>
          <w:sz w:val="28"/>
          <w:szCs w:val="28"/>
          <w:lang w:val="uk-UA"/>
        </w:rPr>
      </w:pPr>
    </w:p>
    <w:tbl>
      <w:tblPr>
        <w:tblW w:w="14886" w:type="dxa"/>
        <w:jc w:val="center"/>
        <w:tblBorders>
          <w:top w:val="nil"/>
          <w:left w:val="nil"/>
          <w:bottom w:val="nil"/>
          <w:right w:val="nil"/>
          <w:insideH w:val="nil"/>
          <w:insideV w:val="nil"/>
        </w:tblBorders>
        <w:tblLayout w:type="fixed"/>
        <w:tblLook w:val="0600" w:firstRow="0" w:lastRow="0" w:firstColumn="0" w:lastColumn="0" w:noHBand="1" w:noVBand="1"/>
      </w:tblPr>
      <w:tblGrid>
        <w:gridCol w:w="2072"/>
        <w:gridCol w:w="5472"/>
        <w:gridCol w:w="1397"/>
        <w:gridCol w:w="1139"/>
        <w:gridCol w:w="891"/>
        <w:gridCol w:w="3915"/>
      </w:tblGrid>
      <w:tr w:rsidR="0059274D" w:rsidRPr="00923E96" w:rsidTr="0059274D">
        <w:trPr>
          <w:trHeight w:val="315"/>
          <w:jc w:val="center"/>
        </w:trPr>
        <w:tc>
          <w:tcPr>
            <w:tcW w:w="2072"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Перелік заходів завдання</w:t>
            </w:r>
          </w:p>
        </w:tc>
        <w:tc>
          <w:tcPr>
            <w:tcW w:w="5472" w:type="dxa"/>
            <w:vMerge w:val="restart"/>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Показники виконання заходу, один. виміру</w:t>
            </w:r>
          </w:p>
        </w:tc>
        <w:tc>
          <w:tcPr>
            <w:tcW w:w="139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p>
        </w:tc>
        <w:tc>
          <w:tcPr>
            <w:tcW w:w="2030" w:type="dxa"/>
            <w:gridSpan w:val="2"/>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Фінансування</w:t>
            </w:r>
          </w:p>
        </w:tc>
        <w:tc>
          <w:tcPr>
            <w:tcW w:w="391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p>
        </w:tc>
      </w:tr>
      <w:tr w:rsidR="0059274D" w:rsidRPr="00923E96"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vMerge/>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139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Виконавець заходу, показника</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джерела</w:t>
            </w:r>
          </w:p>
        </w:tc>
        <w:tc>
          <w:tcPr>
            <w:tcW w:w="891"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обсяги, тис. грн</w:t>
            </w:r>
          </w:p>
        </w:tc>
        <w:tc>
          <w:tcPr>
            <w:tcW w:w="391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Очікуваний результат</w:t>
            </w:r>
          </w:p>
        </w:tc>
      </w:tr>
      <w:tr w:rsidR="0059274D" w:rsidRPr="00923E96" w:rsidTr="0059274D">
        <w:trPr>
          <w:trHeight w:val="315"/>
          <w:jc w:val="center"/>
        </w:trPr>
        <w:tc>
          <w:tcPr>
            <w:tcW w:w="1488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b/>
                <w:sz w:val="20"/>
                <w:szCs w:val="20"/>
                <w:lang w:val="uk-UA"/>
              </w:rPr>
            </w:pPr>
            <w:r w:rsidRPr="00923E96">
              <w:rPr>
                <w:rFonts w:ascii="Times New Roman" w:eastAsia="Times New Roman" w:hAnsi="Times New Roman" w:cs="Times New Roman"/>
                <w:b/>
                <w:sz w:val="20"/>
                <w:szCs w:val="20"/>
                <w:lang w:val="uk-UA"/>
              </w:rPr>
              <w:t>2022 рік</w:t>
            </w:r>
          </w:p>
        </w:tc>
      </w:tr>
      <w:tr w:rsidR="0059274D" w:rsidRPr="00923E96" w:rsidTr="0059274D">
        <w:trPr>
          <w:trHeight w:val="315"/>
          <w:jc w:val="center"/>
        </w:trPr>
        <w:tc>
          <w:tcPr>
            <w:tcW w:w="14886" w:type="dxa"/>
            <w:gridSpan w:val="6"/>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b/>
                <w:sz w:val="20"/>
                <w:szCs w:val="20"/>
                <w:lang w:val="uk-UA"/>
              </w:rPr>
            </w:pPr>
            <w:r w:rsidRPr="00923E96">
              <w:rPr>
                <w:rFonts w:ascii="Times New Roman" w:eastAsia="Times New Roman" w:hAnsi="Times New Roman" w:cs="Times New Roman"/>
                <w:b/>
                <w:sz w:val="20"/>
                <w:szCs w:val="20"/>
                <w:lang w:val="uk-UA"/>
              </w:rPr>
              <w:t>Завдання 3. Інформатизація публічного управління в області</w:t>
            </w:r>
          </w:p>
        </w:tc>
      </w:tr>
      <w:tr w:rsidR="0059274D" w:rsidRPr="00923E96" w:rsidTr="0059274D">
        <w:trPr>
          <w:trHeight w:val="795"/>
          <w:jc w:val="center"/>
        </w:trPr>
        <w:tc>
          <w:tcPr>
            <w:tcW w:w="207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3.4. Запровадження системи електронного документообігу в органах місцевого самоврядування територіальних громад та комунальних закладах і установах</w:t>
            </w: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затрат</w:t>
            </w:r>
          </w:p>
          <w:p w:rsidR="0059274D" w:rsidRPr="00923E96" w:rsidRDefault="0059274D" w:rsidP="00E92166">
            <w:pPr>
              <w:spacing w:after="0" w:line="240" w:lineRule="auto"/>
              <w:rPr>
                <w:rFonts w:ascii="Arial" w:eastAsia="Arial" w:hAnsi="Arial" w:cs="Arial"/>
                <w:sz w:val="20"/>
                <w:szCs w:val="20"/>
                <w:lang w:val="uk-UA"/>
              </w:rPr>
            </w:pPr>
            <w:r w:rsidRPr="00923E96">
              <w:rPr>
                <w:rFonts w:ascii="Times New Roman" w:eastAsia="Times New Roman" w:hAnsi="Times New Roman" w:cs="Times New Roman"/>
                <w:sz w:val="20"/>
                <w:szCs w:val="20"/>
                <w:lang w:val="uk-UA"/>
              </w:rPr>
              <w:t>Видатки на закупівлю ліцензій для впровадження системи електронного документообігу в ОМС ТГ області та комунальних закладах і установах</w:t>
            </w:r>
          </w:p>
        </w:tc>
        <w:tc>
          <w:tcPr>
            <w:tcW w:w="1397"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Управління з питань цифрового</w:t>
            </w:r>
          </w:p>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розвитку обласної державної адміністрації</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r w:rsidRPr="00923E96">
              <w:rPr>
                <w:rFonts w:ascii="Times New Roman" w:eastAsia="Times New Roman" w:hAnsi="Times New Roman" w:cs="Times New Roman"/>
                <w:sz w:val="20"/>
                <w:szCs w:val="20"/>
                <w:lang w:val="uk-UA"/>
              </w:rPr>
              <w:t>Обласний бюджет</w:t>
            </w:r>
          </w:p>
        </w:tc>
        <w:tc>
          <w:tcPr>
            <w:tcW w:w="891"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4000</w:t>
            </w:r>
          </w:p>
        </w:tc>
        <w:tc>
          <w:tcPr>
            <w:tcW w:w="391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Забезпечення ефективного впровадження Закону України «Про електронні документи та електронний документообіг» у місцевих органах виконавчої влади та органах місцевого самоврядування області, а також комунальних закладах та установах</w:t>
            </w:r>
          </w:p>
        </w:tc>
      </w:tr>
      <w:tr w:rsidR="0059274D" w:rsidRPr="00923E96" w:rsidTr="0059274D">
        <w:trPr>
          <w:trHeight w:val="79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продукту</w:t>
            </w:r>
          </w:p>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кількість ОМС, які користуються СЕД</w:t>
            </w:r>
          </w:p>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кількість комунальних установ та закладів, які отримують доступ до СЕД</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923E96"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ефективності</w:t>
            </w:r>
          </w:p>
          <w:p w:rsidR="0059274D" w:rsidRPr="00923E96" w:rsidRDefault="0059274D" w:rsidP="00E92166">
            <w:pPr>
              <w:spacing w:after="0" w:line="240" w:lineRule="auto"/>
              <w:rPr>
                <w:rFonts w:ascii="Arial" w:eastAsia="Arial" w:hAnsi="Arial" w:cs="Arial"/>
                <w:sz w:val="20"/>
                <w:szCs w:val="20"/>
                <w:lang w:val="uk-UA"/>
              </w:rPr>
            </w:pPr>
            <w:r w:rsidRPr="00923E96">
              <w:rPr>
                <w:rFonts w:ascii="Times New Roman" w:eastAsia="Times New Roman" w:hAnsi="Times New Roman" w:cs="Times New Roman"/>
                <w:sz w:val="20"/>
                <w:szCs w:val="20"/>
                <w:lang w:val="uk-UA"/>
              </w:rPr>
              <w:t>Середня вартість під’єднання одного робочого місця до СЕД</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923E96"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rPr>
                <w:rFonts w:ascii="Times New Roman" w:eastAsia="Times New Roman" w:hAnsi="Times New Roman" w:cs="Times New Roman"/>
                <w:sz w:val="20"/>
                <w:szCs w:val="20"/>
                <w:lang w:val="uk-UA"/>
              </w:rPr>
            </w:pPr>
            <w:r w:rsidRPr="00923E96">
              <w:rPr>
                <w:rFonts w:ascii="Times New Roman" w:eastAsia="Times New Roman" w:hAnsi="Times New Roman" w:cs="Times New Roman"/>
                <w:sz w:val="20"/>
                <w:szCs w:val="20"/>
                <w:lang w:val="uk-UA"/>
              </w:rPr>
              <w:t>якості</w:t>
            </w:r>
          </w:p>
          <w:p w:rsidR="0059274D" w:rsidRPr="00923E96" w:rsidRDefault="00B97564" w:rsidP="00E92166">
            <w:pPr>
              <w:spacing w:after="0" w:line="240" w:lineRule="auto"/>
              <w:rPr>
                <w:rFonts w:ascii="Arial" w:eastAsia="Arial" w:hAnsi="Arial" w:cs="Arial"/>
                <w:sz w:val="20"/>
                <w:szCs w:val="20"/>
                <w:lang w:val="uk-UA"/>
              </w:rPr>
            </w:pPr>
            <w:r>
              <w:rPr>
                <w:rFonts w:ascii="Times New Roman" w:eastAsia="Times New Roman" w:hAnsi="Times New Roman" w:cs="Times New Roman"/>
                <w:sz w:val="20"/>
                <w:szCs w:val="20"/>
                <w:lang w:val="uk-UA"/>
              </w:rPr>
              <w:t>Відсоток</w:t>
            </w:r>
            <w:r w:rsidR="0059274D" w:rsidRPr="00923E96">
              <w:rPr>
                <w:rFonts w:ascii="Times New Roman" w:eastAsia="Times New Roman" w:hAnsi="Times New Roman" w:cs="Times New Roman"/>
                <w:sz w:val="20"/>
                <w:szCs w:val="20"/>
                <w:lang w:val="uk-UA"/>
              </w:rPr>
              <w:t xml:space="preserve"> робочих місць, що мають доступ до електронного документообігу</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bl>
    <w:p w:rsidR="0059274D" w:rsidRDefault="0059274D">
      <w:r>
        <w:br w:type="page"/>
      </w:r>
    </w:p>
    <w:tbl>
      <w:tblPr>
        <w:tblW w:w="14886" w:type="dxa"/>
        <w:jc w:val="center"/>
        <w:tblBorders>
          <w:top w:val="nil"/>
          <w:left w:val="nil"/>
          <w:bottom w:val="nil"/>
          <w:right w:val="nil"/>
          <w:insideH w:val="nil"/>
          <w:insideV w:val="nil"/>
        </w:tblBorders>
        <w:tblLayout w:type="fixed"/>
        <w:tblLook w:val="0600" w:firstRow="0" w:lastRow="0" w:firstColumn="0" w:lastColumn="0" w:noHBand="1" w:noVBand="1"/>
      </w:tblPr>
      <w:tblGrid>
        <w:gridCol w:w="2072"/>
        <w:gridCol w:w="5472"/>
        <w:gridCol w:w="1397"/>
        <w:gridCol w:w="1139"/>
        <w:gridCol w:w="891"/>
        <w:gridCol w:w="3915"/>
      </w:tblGrid>
      <w:tr w:rsidR="0059274D" w:rsidRPr="002226DE" w:rsidTr="0059274D">
        <w:trPr>
          <w:trHeight w:val="555"/>
          <w:jc w:val="center"/>
        </w:trPr>
        <w:tc>
          <w:tcPr>
            <w:tcW w:w="207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lastRenderedPageBreak/>
              <w:t>3.8. Наближення центрів надання адміністративних послуг до мешканців</w:t>
            </w: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затрат</w:t>
            </w:r>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 xml:space="preserve">Видатки на здійснення заходів щодо створення нових </w:t>
            </w:r>
            <w:proofErr w:type="spellStart"/>
            <w:r w:rsidRPr="002226DE">
              <w:rPr>
                <w:rFonts w:ascii="Times New Roman" w:eastAsia="Times New Roman" w:hAnsi="Times New Roman" w:cs="Times New Roman"/>
                <w:sz w:val="20"/>
                <w:szCs w:val="20"/>
                <w:lang w:val="uk-UA"/>
              </w:rPr>
              <w:t>ЦНАПах</w:t>
            </w:r>
            <w:proofErr w:type="spellEnd"/>
            <w:r w:rsidRPr="002226DE">
              <w:rPr>
                <w:rFonts w:ascii="Times New Roman" w:eastAsia="Times New Roman" w:hAnsi="Times New Roman" w:cs="Times New Roman"/>
                <w:sz w:val="20"/>
                <w:szCs w:val="20"/>
                <w:lang w:val="uk-UA"/>
              </w:rPr>
              <w:t xml:space="preserve">  територіальних громадах</w:t>
            </w:r>
          </w:p>
        </w:tc>
        <w:tc>
          <w:tcPr>
            <w:tcW w:w="1397"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Управління з питань цифрового</w:t>
            </w:r>
          </w:p>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розвитку обласної державної адміністрації</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Обласний бюджет</w:t>
            </w:r>
          </w:p>
        </w:tc>
        <w:tc>
          <w:tcPr>
            <w:tcW w:w="891"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11000</w:t>
            </w:r>
          </w:p>
        </w:tc>
        <w:tc>
          <w:tcPr>
            <w:tcW w:w="391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Відкриття ЦНАП в кожній громаді Львівської області до кінця 2023 року. Забезпечення ефективного впровадження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Закону України «Про адміністративні послуги»</w:t>
            </w: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продукту</w:t>
            </w:r>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Кількість громад в яких з’явиться ЦНАП</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ефективності</w:t>
            </w:r>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 xml:space="preserve">Середні видатки з обласного бюджету на створення </w:t>
            </w:r>
            <w:proofErr w:type="spellStart"/>
            <w:r w:rsidRPr="002226DE">
              <w:rPr>
                <w:rFonts w:ascii="Times New Roman" w:eastAsia="Times New Roman" w:hAnsi="Times New Roman" w:cs="Times New Roman"/>
                <w:sz w:val="20"/>
                <w:szCs w:val="20"/>
                <w:lang w:val="uk-UA"/>
              </w:rPr>
              <w:t>ЦНАПу</w:t>
            </w:r>
            <w:proofErr w:type="spellEnd"/>
            <w:r w:rsidRPr="002226DE">
              <w:rPr>
                <w:rFonts w:ascii="Times New Roman" w:eastAsia="Times New Roman" w:hAnsi="Times New Roman" w:cs="Times New Roman"/>
                <w:sz w:val="20"/>
                <w:szCs w:val="20"/>
                <w:lang w:val="uk-UA"/>
              </w:rPr>
              <w:t xml:space="preserve"> в громадах, де такі ЦНАПи відсутні</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якості</w:t>
            </w:r>
          </w:p>
          <w:p w:rsidR="0059274D" w:rsidRPr="002226DE" w:rsidRDefault="00B97564" w:rsidP="00E92166">
            <w:pPr>
              <w:spacing w:after="0" w:line="240" w:lineRule="auto"/>
              <w:rPr>
                <w:rFonts w:ascii="Arial" w:eastAsia="Arial" w:hAnsi="Arial" w:cs="Arial"/>
                <w:sz w:val="20"/>
                <w:szCs w:val="20"/>
                <w:lang w:val="uk-UA"/>
              </w:rPr>
            </w:pPr>
            <w:r>
              <w:rPr>
                <w:rFonts w:ascii="Times New Roman" w:eastAsia="Times New Roman" w:hAnsi="Times New Roman" w:cs="Times New Roman"/>
                <w:sz w:val="20"/>
                <w:szCs w:val="20"/>
                <w:lang w:val="uk-UA"/>
              </w:rPr>
              <w:t>Відсоток зад</w:t>
            </w:r>
            <w:bookmarkStart w:id="0" w:name="_GoBack"/>
            <w:bookmarkEnd w:id="0"/>
            <w:r>
              <w:rPr>
                <w:rFonts w:ascii="Times New Roman" w:eastAsia="Times New Roman" w:hAnsi="Times New Roman" w:cs="Times New Roman"/>
                <w:sz w:val="20"/>
                <w:szCs w:val="20"/>
                <w:lang w:val="uk-UA"/>
              </w:rPr>
              <w:t>оволених</w:t>
            </w:r>
            <w:r w:rsidR="0059274D" w:rsidRPr="002226DE">
              <w:rPr>
                <w:rFonts w:ascii="Times New Roman" w:eastAsia="Times New Roman" w:hAnsi="Times New Roman" w:cs="Times New Roman"/>
                <w:sz w:val="20"/>
                <w:szCs w:val="20"/>
                <w:lang w:val="uk-UA"/>
              </w:rPr>
              <w:t xml:space="preserve"> мешканців, які проживають в громадах, де створюються вперше ЦНАПи</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795"/>
          <w:jc w:val="center"/>
        </w:trPr>
        <w:tc>
          <w:tcPr>
            <w:tcW w:w="2072"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3.10. Розвиток та підтримка веб порталів органів публічної влади області</w:t>
            </w: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затрат</w:t>
            </w:r>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 xml:space="preserve">Видатки на здійснення заходів щодо розвитку </w:t>
            </w:r>
            <w:proofErr w:type="spellStart"/>
            <w:r w:rsidRPr="002226DE">
              <w:rPr>
                <w:rFonts w:ascii="Times New Roman" w:eastAsia="Times New Roman" w:hAnsi="Times New Roman" w:cs="Times New Roman"/>
                <w:sz w:val="20"/>
                <w:szCs w:val="20"/>
                <w:lang w:val="uk-UA"/>
              </w:rPr>
              <w:t>вебпорталів</w:t>
            </w:r>
            <w:proofErr w:type="spellEnd"/>
            <w:r w:rsidRPr="002226DE">
              <w:rPr>
                <w:rFonts w:ascii="Times New Roman" w:eastAsia="Times New Roman" w:hAnsi="Times New Roman" w:cs="Times New Roman"/>
                <w:sz w:val="20"/>
                <w:szCs w:val="20"/>
                <w:lang w:val="uk-UA"/>
              </w:rPr>
              <w:t xml:space="preserve"> та їх підтримки</w:t>
            </w:r>
          </w:p>
        </w:tc>
        <w:tc>
          <w:tcPr>
            <w:tcW w:w="1397"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Управління з питань цифрового</w:t>
            </w:r>
          </w:p>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розвитку обласної державної адміністрації</w:t>
            </w:r>
          </w:p>
        </w:tc>
        <w:tc>
          <w:tcPr>
            <w:tcW w:w="113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Обласний бюджет</w:t>
            </w:r>
          </w:p>
        </w:tc>
        <w:tc>
          <w:tcPr>
            <w:tcW w:w="891"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40</w:t>
            </w:r>
          </w:p>
        </w:tc>
        <w:tc>
          <w:tcPr>
            <w:tcW w:w="3915" w:type="dxa"/>
            <w:vMerge w:val="restart"/>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Забезпечення прозорості влади та залучення громадян до здійснення публічного врядування. Запуск та підтримка Місцевого порталу відкритих даних Львівської області</w:t>
            </w: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продукту</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 xml:space="preserve">Кількість оновлених </w:t>
            </w:r>
            <w:proofErr w:type="spellStart"/>
            <w:r w:rsidRPr="002226DE">
              <w:rPr>
                <w:rFonts w:ascii="Times New Roman" w:eastAsia="Times New Roman" w:hAnsi="Times New Roman" w:cs="Times New Roman"/>
                <w:sz w:val="20"/>
                <w:szCs w:val="20"/>
                <w:lang w:val="uk-UA"/>
              </w:rPr>
              <w:t>вебпорталів</w:t>
            </w:r>
            <w:proofErr w:type="spellEnd"/>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 xml:space="preserve">Кількість працюючих </w:t>
            </w:r>
            <w:proofErr w:type="spellStart"/>
            <w:r w:rsidRPr="002226DE">
              <w:rPr>
                <w:rFonts w:ascii="Times New Roman" w:eastAsia="Times New Roman" w:hAnsi="Times New Roman" w:cs="Times New Roman"/>
                <w:sz w:val="20"/>
                <w:szCs w:val="20"/>
                <w:lang w:val="uk-UA"/>
              </w:rPr>
              <w:t>вебпорталів</w:t>
            </w:r>
            <w:proofErr w:type="spellEnd"/>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ефективності</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 xml:space="preserve">Середня вартість оновлення одного </w:t>
            </w:r>
            <w:proofErr w:type="spellStart"/>
            <w:r w:rsidRPr="002226DE">
              <w:rPr>
                <w:rFonts w:ascii="Times New Roman" w:eastAsia="Times New Roman" w:hAnsi="Times New Roman" w:cs="Times New Roman"/>
                <w:sz w:val="20"/>
                <w:szCs w:val="20"/>
                <w:lang w:val="uk-UA"/>
              </w:rPr>
              <w:t>вебпорталу</w:t>
            </w:r>
            <w:proofErr w:type="spellEnd"/>
          </w:p>
          <w:p w:rsidR="0059274D" w:rsidRPr="002226DE" w:rsidRDefault="0059274D" w:rsidP="00E92166">
            <w:pPr>
              <w:spacing w:after="0" w:line="240"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t xml:space="preserve">Середня вартість підтримки </w:t>
            </w:r>
            <w:proofErr w:type="spellStart"/>
            <w:r w:rsidRPr="002226DE">
              <w:rPr>
                <w:rFonts w:ascii="Times New Roman" w:eastAsia="Times New Roman" w:hAnsi="Times New Roman" w:cs="Times New Roman"/>
                <w:sz w:val="20"/>
                <w:szCs w:val="20"/>
                <w:lang w:val="uk-UA"/>
              </w:rPr>
              <w:t>вебпорталу</w:t>
            </w:r>
            <w:proofErr w:type="spellEnd"/>
            <w:r w:rsidRPr="002226DE">
              <w:rPr>
                <w:rFonts w:ascii="Times New Roman" w:eastAsia="Times New Roman" w:hAnsi="Times New Roman" w:cs="Times New Roman"/>
                <w:sz w:val="20"/>
                <w:szCs w:val="20"/>
                <w:lang w:val="uk-UA"/>
              </w:rPr>
              <w:t xml:space="preserve"> на рік</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555"/>
          <w:jc w:val="center"/>
        </w:trPr>
        <w:tc>
          <w:tcPr>
            <w:tcW w:w="2072"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якості</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 xml:space="preserve">Відсоток часу </w:t>
            </w:r>
            <w:proofErr w:type="spellStart"/>
            <w:r w:rsidRPr="002226DE">
              <w:rPr>
                <w:rFonts w:ascii="Times New Roman" w:eastAsia="Times New Roman" w:hAnsi="Times New Roman" w:cs="Times New Roman"/>
                <w:sz w:val="20"/>
                <w:szCs w:val="20"/>
                <w:lang w:val="uk-UA"/>
              </w:rPr>
              <w:t>вебпортали</w:t>
            </w:r>
            <w:proofErr w:type="spellEnd"/>
            <w:r w:rsidRPr="002226DE">
              <w:rPr>
                <w:rFonts w:ascii="Times New Roman" w:eastAsia="Times New Roman" w:hAnsi="Times New Roman" w:cs="Times New Roman"/>
                <w:sz w:val="20"/>
                <w:szCs w:val="20"/>
                <w:lang w:val="uk-UA"/>
              </w:rPr>
              <w:t xml:space="preserve"> ЛОР та МДА області доступні користувачам</w:t>
            </w:r>
          </w:p>
        </w:tc>
        <w:tc>
          <w:tcPr>
            <w:tcW w:w="1397"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2"/>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bl>
    <w:p w:rsidR="0059274D" w:rsidRPr="002226DE" w:rsidRDefault="0059274D">
      <w:r w:rsidRPr="002226DE">
        <w:br w:type="page"/>
      </w:r>
    </w:p>
    <w:tbl>
      <w:tblPr>
        <w:tblW w:w="14886" w:type="dxa"/>
        <w:jc w:val="center"/>
        <w:tblBorders>
          <w:top w:val="nil"/>
          <w:left w:val="nil"/>
          <w:bottom w:val="nil"/>
          <w:right w:val="nil"/>
          <w:insideH w:val="nil"/>
          <w:insideV w:val="nil"/>
        </w:tblBorders>
        <w:tblLayout w:type="fixed"/>
        <w:tblLook w:val="0600" w:firstRow="0" w:lastRow="0" w:firstColumn="0" w:lastColumn="0" w:noHBand="1" w:noVBand="1"/>
      </w:tblPr>
      <w:tblGrid>
        <w:gridCol w:w="2072"/>
        <w:gridCol w:w="5472"/>
        <w:gridCol w:w="1397"/>
        <w:gridCol w:w="1015"/>
        <w:gridCol w:w="124"/>
        <w:gridCol w:w="891"/>
        <w:gridCol w:w="3915"/>
      </w:tblGrid>
      <w:tr w:rsidR="0059274D" w:rsidRPr="002226DE" w:rsidTr="0059274D">
        <w:trPr>
          <w:trHeight w:val="399"/>
          <w:jc w:val="center"/>
        </w:trPr>
        <w:tc>
          <w:tcPr>
            <w:tcW w:w="2072"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r w:rsidRPr="002226DE">
              <w:rPr>
                <w:rFonts w:ascii="Times New Roman" w:eastAsia="Times New Roman" w:hAnsi="Times New Roman" w:cs="Times New Roman"/>
                <w:sz w:val="20"/>
                <w:szCs w:val="20"/>
                <w:lang w:val="uk-UA"/>
              </w:rPr>
              <w:lastRenderedPageBreak/>
              <w:t>3.14. Запуск порталу відкритих даних обласного рівня та наповнення його наборами відкритих даних</w:t>
            </w: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затрат</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Видатки на проведення дослідження, тис. грн;</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Видатки на проведення комплексного аудиту, тис. грн;</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Видатки на здійснення заходів щодо впровадження та технічного забезпечення порталу, тис. грн</w:t>
            </w:r>
          </w:p>
        </w:tc>
        <w:tc>
          <w:tcPr>
            <w:tcW w:w="1397" w:type="dxa"/>
            <w:vMerge w:val="restart"/>
            <w:tcBorders>
              <w:top w:val="single" w:sz="8" w:space="0" w:color="000000"/>
              <w:left w:val="single" w:sz="8" w:space="0" w:color="000000"/>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Управління з питань цифрового</w:t>
            </w:r>
          </w:p>
          <w:p w:rsidR="0059274D" w:rsidRPr="002226DE" w:rsidRDefault="0059274D" w:rsidP="00E92166">
            <w:pPr>
              <w:widowControl w:val="0"/>
              <w:pBdr>
                <w:top w:val="nil"/>
                <w:left w:val="nil"/>
                <w:bottom w:val="nil"/>
                <w:right w:val="nil"/>
                <w:between w:val="nil"/>
              </w:pBdr>
              <w:spacing w:after="0" w:line="276"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розвитку обласної державної адміністрації</w:t>
            </w:r>
          </w:p>
        </w:tc>
        <w:tc>
          <w:tcPr>
            <w:tcW w:w="1015"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Обласний бюджет</w:t>
            </w:r>
          </w:p>
        </w:tc>
        <w:tc>
          <w:tcPr>
            <w:tcW w:w="10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274D" w:rsidRPr="002226DE" w:rsidRDefault="0059274D" w:rsidP="00E92166">
            <w:pPr>
              <w:spacing w:after="0" w:line="240" w:lineRule="auto"/>
              <w:jc w:val="center"/>
              <w:rPr>
                <w:rFonts w:ascii="Arial" w:eastAsia="Arial" w:hAnsi="Arial" w:cs="Arial"/>
                <w:sz w:val="20"/>
                <w:szCs w:val="20"/>
                <w:lang w:val="uk-UA"/>
              </w:rPr>
            </w:pPr>
            <w:r w:rsidRPr="002226DE">
              <w:rPr>
                <w:rFonts w:ascii="Times New Roman" w:eastAsia="Times New Roman" w:hAnsi="Times New Roman" w:cs="Times New Roman"/>
                <w:sz w:val="20"/>
                <w:szCs w:val="20"/>
                <w:lang w:val="uk-UA"/>
              </w:rPr>
              <w:t>951</w:t>
            </w:r>
          </w:p>
        </w:tc>
        <w:tc>
          <w:tcPr>
            <w:tcW w:w="3915" w:type="dxa"/>
            <w:vMerge w:val="restart"/>
            <w:tcBorders>
              <w:top w:val="single" w:sz="8" w:space="0" w:color="000000"/>
              <w:left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Створений Портал місцевої статистики та відкритих даних громад Львівщини;</w:t>
            </w:r>
          </w:p>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Залучено з метою наповнення Порталу представників органів місцевого самоврядування та місцевої виконавчої влади; Забезпечено вільний доступ представників органів місцевого самоврядування, бізнесу та громадськості до місцевої статистики та відкритих даних</w:t>
            </w:r>
          </w:p>
        </w:tc>
      </w:tr>
      <w:tr w:rsidR="0059274D" w:rsidRPr="002226DE" w:rsidTr="0059274D">
        <w:trPr>
          <w:trHeight w:val="397"/>
          <w:jc w:val="center"/>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продукту</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Кількість досліджень, од.;</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Кількість комплексних аудитів, од.;</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Кількість технічних завдань та програмних рішень, шт.;</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Кількість створених порталів, шт.</w:t>
            </w:r>
          </w:p>
        </w:tc>
        <w:tc>
          <w:tcPr>
            <w:tcW w:w="1397" w:type="dxa"/>
            <w:vMerge/>
            <w:tcBorders>
              <w:left w:val="single" w:sz="8" w:space="0" w:color="000000"/>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3"/>
            <w:vMerge w:val="restart"/>
            <w:tcBorders>
              <w:top w:val="single" w:sz="4" w:space="0" w:color="auto"/>
              <w:left w:val="single" w:sz="4" w:space="0" w:color="auto"/>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left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397"/>
          <w:jc w:val="center"/>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ефективності</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Середня вартість проведеного дослідження, тис грн;</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Середня вартість проведеного комплексного аудиту, тис грн;</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Середній розмір витрат на створення та підтримку порталу, тис грн;</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Середній розмір витрат на одиницю технічного завдання та програмного рішення, тис грн</w:t>
            </w:r>
          </w:p>
        </w:tc>
        <w:tc>
          <w:tcPr>
            <w:tcW w:w="1397" w:type="dxa"/>
            <w:vMerge/>
            <w:tcBorders>
              <w:left w:val="single" w:sz="8" w:space="0" w:color="000000"/>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3"/>
            <w:vMerge/>
            <w:tcBorders>
              <w:left w:val="single" w:sz="4" w:space="0" w:color="auto"/>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left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59274D">
        <w:trPr>
          <w:trHeight w:val="397"/>
          <w:jc w:val="center"/>
        </w:trPr>
        <w:tc>
          <w:tcPr>
            <w:tcW w:w="2072" w:type="dxa"/>
            <w:vMerge/>
            <w:tcBorders>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якості</w:t>
            </w:r>
          </w:p>
          <w:p w:rsidR="0059274D" w:rsidRPr="002226DE" w:rsidRDefault="0059274D" w:rsidP="00E92166">
            <w:pPr>
              <w:spacing w:after="0" w:line="240" w:lineRule="auto"/>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Відсоток забезпеченості фінансування, %</w:t>
            </w:r>
          </w:p>
        </w:tc>
        <w:tc>
          <w:tcPr>
            <w:tcW w:w="1397" w:type="dxa"/>
            <w:vMerge/>
            <w:tcBorders>
              <w:left w:val="single" w:sz="8" w:space="0" w:color="000000"/>
              <w:bottom w:val="single" w:sz="8" w:space="0" w:color="000000"/>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c>
          <w:tcPr>
            <w:tcW w:w="2030" w:type="dxa"/>
            <w:gridSpan w:val="3"/>
            <w:vMerge/>
            <w:tcBorders>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Arial" w:eastAsia="Arial" w:hAnsi="Arial" w:cs="Arial"/>
                <w:sz w:val="20"/>
                <w:szCs w:val="20"/>
                <w:lang w:val="uk-UA"/>
              </w:rPr>
            </w:pPr>
          </w:p>
        </w:tc>
        <w:tc>
          <w:tcPr>
            <w:tcW w:w="3915" w:type="dxa"/>
            <w:vMerge/>
            <w:tcBorders>
              <w:left w:val="single" w:sz="4" w:space="0" w:color="auto"/>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rPr>
                <w:rFonts w:ascii="Arial" w:eastAsia="Arial" w:hAnsi="Arial" w:cs="Arial"/>
                <w:sz w:val="20"/>
                <w:szCs w:val="20"/>
                <w:lang w:val="uk-UA"/>
              </w:rPr>
            </w:pPr>
          </w:p>
        </w:tc>
      </w:tr>
      <w:tr w:rsidR="0059274D" w:rsidRPr="002226DE" w:rsidTr="00E92166">
        <w:tblPrEx>
          <w:jc w:val="left"/>
        </w:tblPrEx>
        <w:trPr>
          <w:trHeight w:val="555"/>
        </w:trPr>
        <w:tc>
          <w:tcPr>
            <w:tcW w:w="14886" w:type="dxa"/>
            <w:gridSpan w:val="7"/>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widowControl w:val="0"/>
              <w:pBdr>
                <w:top w:val="nil"/>
                <w:left w:val="nil"/>
                <w:bottom w:val="nil"/>
                <w:right w:val="nil"/>
                <w:between w:val="nil"/>
              </w:pBdr>
              <w:spacing w:after="0" w:line="276" w:lineRule="auto"/>
              <w:jc w:val="center"/>
              <w:rPr>
                <w:rFonts w:ascii="Arial" w:eastAsia="Arial" w:hAnsi="Arial" w:cs="Arial"/>
                <w:sz w:val="20"/>
                <w:szCs w:val="20"/>
                <w:lang w:val="uk-UA"/>
              </w:rPr>
            </w:pPr>
            <w:r w:rsidRPr="002226DE">
              <w:br w:type="page"/>
            </w:r>
            <w:r w:rsidRPr="002226DE">
              <w:rPr>
                <w:rFonts w:ascii="Times New Roman" w:eastAsia="Times New Roman" w:hAnsi="Times New Roman" w:cs="Times New Roman"/>
                <w:b/>
                <w:sz w:val="20"/>
                <w:szCs w:val="20"/>
                <w:lang w:val="uk-UA"/>
              </w:rPr>
              <w:t>Завдання 8. Інформатизація Державного архіву Львівської області</w:t>
            </w:r>
          </w:p>
        </w:tc>
      </w:tr>
      <w:tr w:rsidR="0059274D" w:rsidRPr="002226DE" w:rsidTr="00E92166">
        <w:tblPrEx>
          <w:jc w:val="left"/>
        </w:tblPrEx>
        <w:trPr>
          <w:trHeight w:val="555"/>
        </w:trPr>
        <w:tc>
          <w:tcPr>
            <w:tcW w:w="2072"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8.2. Створення комплексної інформаційної системи ДАЛО</w:t>
            </w:r>
          </w:p>
        </w:tc>
        <w:tc>
          <w:tcPr>
            <w:tcW w:w="5472"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затрат</w:t>
            </w:r>
          </w:p>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Видатки</w:t>
            </w:r>
            <w:proofErr w:type="spellEnd"/>
            <w:r w:rsidRPr="002226DE">
              <w:rPr>
                <w:rFonts w:ascii="Times New Roman" w:eastAsia="Times New Roman" w:hAnsi="Times New Roman" w:cs="Calibri"/>
                <w:color w:val="000000"/>
                <w:sz w:val="20"/>
                <w:szCs w:val="20"/>
                <w:lang w:val="ru-RU" w:eastAsia="ru-RU"/>
              </w:rPr>
              <w:t xml:space="preserve"> на </w:t>
            </w:r>
            <w:proofErr w:type="spellStart"/>
            <w:r w:rsidRPr="002226DE">
              <w:rPr>
                <w:rFonts w:ascii="Times New Roman" w:eastAsia="Times New Roman" w:hAnsi="Times New Roman" w:cs="Calibri"/>
                <w:color w:val="000000"/>
                <w:sz w:val="20"/>
                <w:szCs w:val="20"/>
                <w:lang w:val="ru-RU" w:eastAsia="ru-RU"/>
              </w:rPr>
              <w:t>створення</w:t>
            </w:r>
            <w:proofErr w:type="spellEnd"/>
            <w:r w:rsidRPr="002226DE">
              <w:rPr>
                <w:rFonts w:ascii="Times New Roman" w:eastAsia="Times New Roman" w:hAnsi="Times New Roman" w:cs="Calibri"/>
                <w:color w:val="000000"/>
                <w:sz w:val="20"/>
                <w:szCs w:val="20"/>
                <w:lang w:val="ru-RU" w:eastAsia="ru-RU"/>
              </w:rPr>
              <w:t xml:space="preserve"> та запуск </w:t>
            </w:r>
            <w:proofErr w:type="spellStart"/>
            <w:r w:rsidRPr="002226DE">
              <w:rPr>
                <w:rFonts w:ascii="Times New Roman" w:eastAsia="Times New Roman" w:hAnsi="Times New Roman" w:cs="Calibri"/>
                <w:color w:val="000000"/>
                <w:sz w:val="20"/>
                <w:szCs w:val="20"/>
                <w:lang w:val="ru-RU" w:eastAsia="ru-RU"/>
              </w:rPr>
              <w:t>комплексної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інформаційної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системи</w:t>
            </w:r>
            <w:proofErr w:type="spellEnd"/>
          </w:p>
        </w:tc>
        <w:tc>
          <w:tcPr>
            <w:tcW w:w="1397"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Державний архів Львівської області</w:t>
            </w:r>
          </w:p>
        </w:tc>
        <w:tc>
          <w:tcPr>
            <w:tcW w:w="1139" w:type="dxa"/>
            <w:gridSpan w:val="2"/>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Обласний бюджет</w:t>
            </w:r>
          </w:p>
        </w:tc>
        <w:tc>
          <w:tcPr>
            <w:tcW w:w="891" w:type="dxa"/>
            <w:tcBorders>
              <w:top w:val="single" w:sz="8" w:space="0" w:color="000000"/>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430</w:t>
            </w:r>
          </w:p>
        </w:tc>
        <w:tc>
          <w:tcPr>
            <w:tcW w:w="3915" w:type="dxa"/>
            <w:vMerge w:val="restart"/>
            <w:tcBorders>
              <w:top w:val="single" w:sz="8" w:space="0" w:color="000000"/>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Створення можливості зберігати, опрацьовувати, висвітлювати архівні фонди в цифровому форматі</w:t>
            </w:r>
          </w:p>
        </w:tc>
      </w:tr>
      <w:tr w:rsidR="0059274D" w:rsidRPr="002226DE" w:rsidTr="00E92166">
        <w:tblPrEx>
          <w:jc w:val="left"/>
        </w:tblPrEx>
        <w:trPr>
          <w:trHeight w:val="555"/>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продукту</w:t>
            </w:r>
          </w:p>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 xml:space="preserve">Запуск </w:t>
            </w:r>
            <w:proofErr w:type="spellStart"/>
            <w:r w:rsidRPr="002226DE">
              <w:rPr>
                <w:rFonts w:ascii="Times New Roman" w:eastAsia="Times New Roman" w:hAnsi="Times New Roman" w:cs="Calibri"/>
                <w:color w:val="000000"/>
                <w:sz w:val="20"/>
                <w:szCs w:val="20"/>
                <w:lang w:val="ru-RU" w:eastAsia="ru-RU"/>
              </w:rPr>
              <w:t>комплексної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інформаційної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системи</w:t>
            </w:r>
            <w:proofErr w:type="spellEnd"/>
            <w:r w:rsidRPr="002226DE">
              <w:rPr>
                <w:rFonts w:ascii="Times New Roman" w:eastAsia="Times New Roman" w:hAnsi="Times New Roman" w:cs="Calibri"/>
                <w:color w:val="000000"/>
                <w:sz w:val="20"/>
                <w:szCs w:val="20"/>
                <w:lang w:val="ru-RU" w:eastAsia="ru-RU"/>
              </w:rPr>
              <w:t xml:space="preserve"> ДАЛО</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2030" w:type="dxa"/>
            <w:gridSpan w:val="3"/>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r>
      <w:tr w:rsidR="0059274D" w:rsidRPr="002226DE" w:rsidTr="00E92166">
        <w:tblPrEx>
          <w:jc w:val="left"/>
        </w:tblPrEx>
        <w:trPr>
          <w:trHeight w:val="555"/>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ефективності</w:t>
            </w:r>
            <w:proofErr w:type="spellEnd"/>
          </w:p>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Середня</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вартість</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видатків</w:t>
            </w:r>
            <w:proofErr w:type="spellEnd"/>
            <w:r w:rsidRPr="002226DE">
              <w:rPr>
                <w:rFonts w:ascii="Times New Roman" w:eastAsia="Times New Roman" w:hAnsi="Times New Roman" w:cs="Calibri"/>
                <w:color w:val="000000"/>
                <w:sz w:val="20"/>
                <w:szCs w:val="20"/>
                <w:lang w:val="ru-RU" w:eastAsia="ru-RU"/>
              </w:rPr>
              <w:t xml:space="preserve"> на запуск </w:t>
            </w:r>
            <w:proofErr w:type="spellStart"/>
            <w:r w:rsidRPr="002226DE">
              <w:rPr>
                <w:rFonts w:ascii="Times New Roman" w:eastAsia="Times New Roman" w:hAnsi="Times New Roman" w:cs="Calibri"/>
                <w:color w:val="000000"/>
                <w:sz w:val="20"/>
                <w:szCs w:val="20"/>
                <w:lang w:val="ru-RU" w:eastAsia="ru-RU"/>
              </w:rPr>
              <w:t>комплексної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інформаційної</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системи</w:t>
            </w:r>
            <w:proofErr w:type="spellEnd"/>
            <w:r w:rsidRPr="002226DE">
              <w:rPr>
                <w:rFonts w:ascii="Times New Roman" w:eastAsia="Times New Roman" w:hAnsi="Times New Roman" w:cs="Calibri"/>
                <w:color w:val="000000"/>
                <w:sz w:val="20"/>
                <w:szCs w:val="20"/>
                <w:lang w:val="ru-RU" w:eastAsia="ru-RU"/>
              </w:rPr>
              <w:t xml:space="preserve"> ДАЛО</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2030" w:type="dxa"/>
            <w:gridSpan w:val="3"/>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r>
      <w:tr w:rsidR="0059274D" w:rsidRPr="002226DE" w:rsidTr="00E92166">
        <w:tblPrEx>
          <w:jc w:val="left"/>
        </w:tblPrEx>
        <w:trPr>
          <w:trHeight w:val="555"/>
        </w:trPr>
        <w:tc>
          <w:tcPr>
            <w:tcW w:w="2072" w:type="dxa"/>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якості</w:t>
            </w:r>
            <w:proofErr w:type="spellEnd"/>
          </w:p>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Відсоток</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бізнес-процесів</w:t>
            </w:r>
            <w:proofErr w:type="spellEnd"/>
            <w:r w:rsidRPr="002226DE">
              <w:rPr>
                <w:rFonts w:ascii="Times New Roman" w:eastAsia="Times New Roman" w:hAnsi="Times New Roman" w:cs="Calibri"/>
                <w:color w:val="000000"/>
                <w:sz w:val="20"/>
                <w:szCs w:val="20"/>
                <w:lang w:val="ru-RU" w:eastAsia="ru-RU"/>
              </w:rPr>
              <w:t xml:space="preserve"> в </w:t>
            </w:r>
            <w:proofErr w:type="spellStart"/>
            <w:r w:rsidRPr="002226DE">
              <w:rPr>
                <w:rFonts w:ascii="Times New Roman" w:eastAsia="Times New Roman" w:hAnsi="Times New Roman" w:cs="Calibri"/>
                <w:color w:val="000000"/>
                <w:sz w:val="20"/>
                <w:szCs w:val="20"/>
                <w:lang w:val="ru-RU" w:eastAsia="ru-RU"/>
              </w:rPr>
              <w:t>архіві</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які</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переведені</w:t>
            </w:r>
            <w:proofErr w:type="spellEnd"/>
            <w:r w:rsidRPr="002226DE">
              <w:rPr>
                <w:rFonts w:ascii="Times New Roman" w:eastAsia="Times New Roman" w:hAnsi="Times New Roman" w:cs="Calibri"/>
                <w:color w:val="000000"/>
                <w:sz w:val="20"/>
                <w:szCs w:val="20"/>
                <w:lang w:val="ru-RU" w:eastAsia="ru-RU"/>
              </w:rPr>
              <w:t xml:space="preserve"> в </w:t>
            </w:r>
            <w:proofErr w:type="spellStart"/>
            <w:r w:rsidRPr="002226DE">
              <w:rPr>
                <w:rFonts w:ascii="Times New Roman" w:eastAsia="Times New Roman" w:hAnsi="Times New Roman" w:cs="Calibri"/>
                <w:color w:val="000000"/>
                <w:sz w:val="20"/>
                <w:szCs w:val="20"/>
                <w:lang w:val="ru-RU" w:eastAsia="ru-RU"/>
              </w:rPr>
              <w:t>інформаційну</w:t>
            </w:r>
            <w:proofErr w:type="spellEnd"/>
            <w:r w:rsidRPr="002226DE">
              <w:rPr>
                <w:rFonts w:ascii="Times New Roman" w:eastAsia="Times New Roman" w:hAnsi="Times New Roman" w:cs="Calibri"/>
                <w:color w:val="000000"/>
                <w:sz w:val="20"/>
                <w:szCs w:val="20"/>
                <w:lang w:val="ru-RU" w:eastAsia="ru-RU"/>
              </w:rPr>
              <w:t xml:space="preserve"> систему</w:t>
            </w:r>
          </w:p>
          <w:p w:rsidR="0059274D" w:rsidRPr="002226DE" w:rsidRDefault="0059274D" w:rsidP="00E92166">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Динаміка</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відвідувачів</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публічного</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електронного</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сервісу</w:t>
            </w:r>
            <w:proofErr w:type="spellEnd"/>
          </w:p>
        </w:tc>
        <w:tc>
          <w:tcPr>
            <w:tcW w:w="1397" w:type="dxa"/>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2030" w:type="dxa"/>
            <w:gridSpan w:val="3"/>
            <w:vMerge/>
            <w:tcBorders>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E92166">
            <w:pPr>
              <w:spacing w:after="0" w:line="240" w:lineRule="auto"/>
              <w:jc w:val="center"/>
              <w:rPr>
                <w:rFonts w:ascii="Times New Roman" w:eastAsia="Times New Roman" w:hAnsi="Times New Roman" w:cs="Times New Roman"/>
                <w:sz w:val="20"/>
                <w:szCs w:val="20"/>
                <w:lang w:val="uk-UA"/>
              </w:rPr>
            </w:pPr>
          </w:p>
        </w:tc>
      </w:tr>
    </w:tbl>
    <w:p w:rsidR="0059274D" w:rsidRPr="002226DE" w:rsidRDefault="0059274D">
      <w:r w:rsidRPr="002226DE">
        <w:br w:type="page"/>
      </w:r>
    </w:p>
    <w:tbl>
      <w:tblPr>
        <w:tblW w:w="14886" w:type="dxa"/>
        <w:jc w:val="center"/>
        <w:tblBorders>
          <w:top w:val="nil"/>
          <w:left w:val="nil"/>
          <w:bottom w:val="nil"/>
          <w:right w:val="nil"/>
          <w:insideH w:val="nil"/>
          <w:insideV w:val="nil"/>
        </w:tblBorders>
        <w:tblLayout w:type="fixed"/>
        <w:tblLook w:val="0600" w:firstRow="0" w:lastRow="0" w:firstColumn="0" w:lastColumn="0" w:noHBand="1" w:noVBand="1"/>
      </w:tblPr>
      <w:tblGrid>
        <w:gridCol w:w="2071"/>
        <w:gridCol w:w="5474"/>
        <w:gridCol w:w="1397"/>
        <w:gridCol w:w="1139"/>
        <w:gridCol w:w="891"/>
        <w:gridCol w:w="3914"/>
      </w:tblGrid>
      <w:tr w:rsidR="0059274D" w:rsidRPr="002226DE" w:rsidTr="008F56B5">
        <w:trPr>
          <w:trHeight w:val="555"/>
          <w:jc w:val="center"/>
        </w:trPr>
        <w:tc>
          <w:tcPr>
            <w:tcW w:w="2072" w:type="dxa"/>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lastRenderedPageBreak/>
              <w:t>8.3. Формування цифрового контенту (облікових даних, довідкового апарату та цифрових зображень документів)</w:t>
            </w:r>
          </w:p>
        </w:tc>
        <w:tc>
          <w:tcPr>
            <w:tcW w:w="547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затрат</w:t>
            </w:r>
          </w:p>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Видатки</w:t>
            </w:r>
            <w:proofErr w:type="spellEnd"/>
            <w:r w:rsidRPr="002226DE">
              <w:rPr>
                <w:rFonts w:ascii="Times New Roman" w:eastAsia="Times New Roman" w:hAnsi="Times New Roman" w:cs="Calibri"/>
                <w:color w:val="000000"/>
                <w:sz w:val="20"/>
                <w:szCs w:val="20"/>
                <w:lang w:val="ru-RU" w:eastAsia="ru-RU"/>
              </w:rPr>
              <w:t xml:space="preserve"> на </w:t>
            </w:r>
            <w:proofErr w:type="spellStart"/>
            <w:r w:rsidRPr="002226DE">
              <w:rPr>
                <w:rFonts w:ascii="Times New Roman" w:eastAsia="Times New Roman" w:hAnsi="Times New Roman" w:cs="Calibri"/>
                <w:color w:val="000000"/>
                <w:sz w:val="20"/>
                <w:szCs w:val="20"/>
                <w:lang w:val="ru-RU" w:eastAsia="ru-RU"/>
              </w:rPr>
              <w:t>оцифрування</w:t>
            </w:r>
            <w:proofErr w:type="spellEnd"/>
            <w:r w:rsidRPr="002226DE">
              <w:rPr>
                <w:rFonts w:ascii="Times New Roman" w:eastAsia="Times New Roman" w:hAnsi="Times New Roman" w:cs="Calibri"/>
                <w:color w:val="000000"/>
                <w:sz w:val="20"/>
                <w:szCs w:val="20"/>
                <w:lang w:val="ru-RU" w:eastAsia="ru-RU"/>
              </w:rPr>
              <w:t xml:space="preserve"> контенту</w:t>
            </w:r>
          </w:p>
        </w:tc>
        <w:tc>
          <w:tcPr>
            <w:tcW w:w="1397" w:type="dxa"/>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ru-RU"/>
              </w:rPr>
            </w:pPr>
            <w:proofErr w:type="spellStart"/>
            <w:r w:rsidRPr="002226DE">
              <w:rPr>
                <w:rFonts w:ascii="Times New Roman" w:eastAsia="Times New Roman" w:hAnsi="Times New Roman" w:cs="Times New Roman"/>
                <w:sz w:val="20"/>
                <w:szCs w:val="20"/>
                <w:lang w:val="ru-RU"/>
              </w:rPr>
              <w:t>Державний</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архів</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Львівської</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області</w:t>
            </w:r>
            <w:proofErr w:type="spellEnd"/>
          </w:p>
        </w:tc>
        <w:tc>
          <w:tcPr>
            <w:tcW w:w="1139" w:type="dxa"/>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Обласний бюджет</w:t>
            </w:r>
          </w:p>
        </w:tc>
        <w:tc>
          <w:tcPr>
            <w:tcW w:w="891" w:type="dxa"/>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4A3AC1" w:rsidRDefault="0059274D" w:rsidP="008F56B5">
            <w:pPr>
              <w:spacing w:after="0" w:line="240" w:lineRule="auto"/>
              <w:jc w:val="center"/>
              <w:rPr>
                <w:rFonts w:ascii="Times New Roman" w:eastAsia="Times New Roman" w:hAnsi="Times New Roman" w:cs="Times New Roman"/>
                <w:sz w:val="20"/>
                <w:szCs w:val="20"/>
              </w:rPr>
            </w:pPr>
            <w:r w:rsidRPr="002226DE">
              <w:rPr>
                <w:rFonts w:ascii="Times New Roman" w:eastAsia="Times New Roman" w:hAnsi="Times New Roman" w:cs="Times New Roman"/>
                <w:sz w:val="20"/>
                <w:szCs w:val="20"/>
                <w:lang w:val="uk-UA"/>
              </w:rPr>
              <w:t>1426,43</w:t>
            </w:r>
            <w:r w:rsidR="004A3AC1">
              <w:rPr>
                <w:rFonts w:ascii="Times New Roman" w:eastAsia="Times New Roman" w:hAnsi="Times New Roman" w:cs="Times New Roman"/>
                <w:sz w:val="20"/>
                <w:szCs w:val="20"/>
              </w:rPr>
              <w:t>1</w:t>
            </w:r>
          </w:p>
        </w:tc>
        <w:tc>
          <w:tcPr>
            <w:tcW w:w="3915" w:type="dxa"/>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Захист та збереження архівного фонду в цифровому вигляді, можливість надати доступ до такого фонду, використовуючи публічні електронні сервіси</w:t>
            </w:r>
          </w:p>
        </w:tc>
      </w:tr>
      <w:tr w:rsidR="0059274D" w:rsidRPr="002226DE" w:rsidTr="008F56B5">
        <w:trPr>
          <w:trHeight w:val="555"/>
          <w:jc w:val="center"/>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продукту</w:t>
            </w:r>
          </w:p>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Кількість</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оцифрованого</w:t>
            </w:r>
            <w:proofErr w:type="spellEnd"/>
            <w:r w:rsidRPr="002226DE">
              <w:rPr>
                <w:rFonts w:ascii="Times New Roman" w:eastAsia="Times New Roman" w:hAnsi="Times New Roman" w:cs="Calibri"/>
                <w:color w:val="000000"/>
                <w:sz w:val="20"/>
                <w:szCs w:val="20"/>
                <w:lang w:val="ru-RU" w:eastAsia="ru-RU"/>
              </w:rPr>
              <w:t xml:space="preserve"> контенту</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r>
      <w:tr w:rsidR="0059274D" w:rsidRPr="002226DE" w:rsidTr="008F56B5">
        <w:trPr>
          <w:trHeight w:val="555"/>
          <w:jc w:val="center"/>
        </w:trPr>
        <w:tc>
          <w:tcPr>
            <w:tcW w:w="2072"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8" w:space="0" w:color="000000"/>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ефективності</w:t>
            </w:r>
            <w:proofErr w:type="spellEnd"/>
          </w:p>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Середня</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вартість</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видатків</w:t>
            </w:r>
            <w:proofErr w:type="spellEnd"/>
            <w:r w:rsidRPr="002226DE">
              <w:rPr>
                <w:rFonts w:ascii="Times New Roman" w:eastAsia="Times New Roman" w:hAnsi="Times New Roman" w:cs="Calibri"/>
                <w:color w:val="000000"/>
                <w:sz w:val="20"/>
                <w:szCs w:val="20"/>
                <w:lang w:val="ru-RU" w:eastAsia="ru-RU"/>
              </w:rPr>
              <w:t xml:space="preserve"> на </w:t>
            </w:r>
            <w:proofErr w:type="spellStart"/>
            <w:r w:rsidRPr="002226DE">
              <w:rPr>
                <w:rFonts w:ascii="Times New Roman" w:eastAsia="Times New Roman" w:hAnsi="Times New Roman" w:cs="Calibri"/>
                <w:color w:val="000000"/>
                <w:sz w:val="20"/>
                <w:szCs w:val="20"/>
                <w:lang w:val="ru-RU" w:eastAsia="ru-RU"/>
              </w:rPr>
              <w:t>одиницю</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оцифрованого</w:t>
            </w:r>
            <w:proofErr w:type="spellEnd"/>
            <w:r w:rsidRPr="002226DE">
              <w:rPr>
                <w:rFonts w:ascii="Times New Roman" w:eastAsia="Times New Roman" w:hAnsi="Times New Roman" w:cs="Calibri"/>
                <w:color w:val="000000"/>
                <w:sz w:val="20"/>
                <w:szCs w:val="20"/>
                <w:lang w:val="ru-RU" w:eastAsia="ru-RU"/>
              </w:rPr>
              <w:t xml:space="preserve"> контенту</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r>
      <w:tr w:rsidR="0059274D" w:rsidRPr="002226DE" w:rsidTr="008F56B5">
        <w:trPr>
          <w:trHeight w:val="555"/>
          <w:jc w:val="center"/>
        </w:trPr>
        <w:tc>
          <w:tcPr>
            <w:tcW w:w="2072" w:type="dxa"/>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4" w:space="0" w:color="auto"/>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якості</w:t>
            </w:r>
            <w:proofErr w:type="spellEnd"/>
          </w:p>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Відсоток</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архівного</w:t>
            </w:r>
            <w:proofErr w:type="spellEnd"/>
            <w:r w:rsidRPr="002226DE">
              <w:rPr>
                <w:rFonts w:ascii="Times New Roman" w:eastAsia="Times New Roman" w:hAnsi="Times New Roman" w:cs="Calibri"/>
                <w:color w:val="000000"/>
                <w:sz w:val="20"/>
                <w:szCs w:val="20"/>
                <w:lang w:val="ru-RU" w:eastAsia="ru-RU"/>
              </w:rPr>
              <w:t xml:space="preserve"> фонду, </w:t>
            </w:r>
            <w:proofErr w:type="spellStart"/>
            <w:r w:rsidRPr="002226DE">
              <w:rPr>
                <w:rFonts w:ascii="Times New Roman" w:eastAsia="Times New Roman" w:hAnsi="Times New Roman" w:cs="Calibri"/>
                <w:color w:val="000000"/>
                <w:sz w:val="20"/>
                <w:szCs w:val="20"/>
                <w:lang w:val="ru-RU" w:eastAsia="ru-RU"/>
              </w:rPr>
              <w:t>що</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було</w:t>
            </w:r>
            <w:proofErr w:type="spellEnd"/>
            <w:r w:rsidRPr="002226DE">
              <w:rPr>
                <w:rFonts w:ascii="Times New Roman" w:eastAsia="Times New Roman" w:hAnsi="Times New Roman" w:cs="Calibri"/>
                <w:color w:val="000000"/>
                <w:sz w:val="20"/>
                <w:szCs w:val="20"/>
                <w:lang w:val="ru-RU" w:eastAsia="ru-RU"/>
              </w:rPr>
              <w:t xml:space="preserve"> оцифровано</w:t>
            </w:r>
          </w:p>
        </w:tc>
        <w:tc>
          <w:tcPr>
            <w:tcW w:w="1397" w:type="dxa"/>
            <w:vMerge/>
            <w:tcBorders>
              <w:left w:val="single" w:sz="4" w:space="0" w:color="auto"/>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p>
        </w:tc>
      </w:tr>
      <w:tr w:rsidR="0059274D" w:rsidRPr="00923E96" w:rsidTr="008F56B5">
        <w:trPr>
          <w:trHeight w:val="555"/>
          <w:jc w:val="center"/>
        </w:trPr>
        <w:tc>
          <w:tcPr>
            <w:tcW w:w="2072" w:type="dxa"/>
            <w:vMerge w:val="restart"/>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8.4. Інформатизація бізнес-процесів затвердження номенклатур справ в ДАЛО</w:t>
            </w:r>
          </w:p>
        </w:tc>
        <w:tc>
          <w:tcPr>
            <w:tcW w:w="5472" w:type="dxa"/>
            <w:tcBorders>
              <w:top w:val="single" w:sz="4" w:space="0" w:color="auto"/>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r w:rsidRPr="002226DE">
              <w:rPr>
                <w:rFonts w:ascii="Times New Roman" w:eastAsia="Times New Roman" w:hAnsi="Times New Roman" w:cs="Calibri"/>
                <w:color w:val="000000"/>
                <w:sz w:val="20"/>
                <w:szCs w:val="20"/>
                <w:lang w:val="ru-RU" w:eastAsia="ru-RU"/>
              </w:rPr>
              <w:t>затрат</w:t>
            </w:r>
          </w:p>
          <w:p w:rsidR="0059274D" w:rsidRPr="002226DE" w:rsidRDefault="0059274D" w:rsidP="008F56B5">
            <w:pPr>
              <w:spacing w:after="0" w:line="240" w:lineRule="auto"/>
              <w:rPr>
                <w:rFonts w:ascii="Times New Roman" w:eastAsia="Times New Roman" w:hAnsi="Times New Roman" w:cs="Calibri"/>
                <w:color w:val="000000"/>
                <w:sz w:val="20"/>
                <w:szCs w:val="20"/>
                <w:lang w:val="ru-RU" w:eastAsia="ru-RU"/>
              </w:rPr>
            </w:pPr>
            <w:proofErr w:type="spellStart"/>
            <w:r w:rsidRPr="002226DE">
              <w:rPr>
                <w:rFonts w:ascii="Times New Roman" w:eastAsia="Times New Roman" w:hAnsi="Times New Roman" w:cs="Calibri"/>
                <w:color w:val="000000"/>
                <w:sz w:val="20"/>
                <w:szCs w:val="20"/>
                <w:lang w:val="ru-RU" w:eastAsia="ru-RU"/>
              </w:rPr>
              <w:t>Видатки</w:t>
            </w:r>
            <w:proofErr w:type="spellEnd"/>
            <w:r w:rsidRPr="002226DE">
              <w:rPr>
                <w:rFonts w:ascii="Times New Roman" w:eastAsia="Times New Roman" w:hAnsi="Times New Roman" w:cs="Calibri"/>
                <w:color w:val="000000"/>
                <w:sz w:val="20"/>
                <w:szCs w:val="20"/>
                <w:lang w:val="ru-RU" w:eastAsia="ru-RU"/>
              </w:rPr>
              <w:t xml:space="preserve"> на </w:t>
            </w:r>
            <w:proofErr w:type="spellStart"/>
            <w:r w:rsidRPr="002226DE">
              <w:rPr>
                <w:rFonts w:ascii="Times New Roman" w:eastAsia="Times New Roman" w:hAnsi="Times New Roman" w:cs="Calibri"/>
                <w:color w:val="000000"/>
                <w:sz w:val="20"/>
                <w:szCs w:val="20"/>
                <w:lang w:val="ru-RU" w:eastAsia="ru-RU"/>
              </w:rPr>
              <w:t>закупівлю</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товарів</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чи</w:t>
            </w:r>
            <w:proofErr w:type="spellEnd"/>
            <w:r w:rsidRPr="002226DE">
              <w:rPr>
                <w:rFonts w:ascii="Times New Roman" w:eastAsia="Times New Roman" w:hAnsi="Times New Roman" w:cs="Calibri"/>
                <w:color w:val="000000"/>
                <w:sz w:val="20"/>
                <w:szCs w:val="20"/>
                <w:lang w:val="ru-RU" w:eastAsia="ru-RU"/>
              </w:rPr>
              <w:t xml:space="preserve"> </w:t>
            </w:r>
            <w:proofErr w:type="spellStart"/>
            <w:r w:rsidRPr="002226DE">
              <w:rPr>
                <w:rFonts w:ascii="Times New Roman" w:eastAsia="Times New Roman" w:hAnsi="Times New Roman" w:cs="Calibri"/>
                <w:color w:val="000000"/>
                <w:sz w:val="20"/>
                <w:szCs w:val="20"/>
                <w:lang w:val="ru-RU" w:eastAsia="ru-RU"/>
              </w:rPr>
              <w:t>послуг</w:t>
            </w:r>
            <w:proofErr w:type="spellEnd"/>
          </w:p>
        </w:tc>
        <w:tc>
          <w:tcPr>
            <w:tcW w:w="1397" w:type="dxa"/>
            <w:vMerge w:val="restart"/>
            <w:tcBorders>
              <w:top w:val="single" w:sz="4" w:space="0" w:color="auto"/>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ru-RU"/>
              </w:rPr>
            </w:pPr>
            <w:proofErr w:type="spellStart"/>
            <w:r w:rsidRPr="002226DE">
              <w:rPr>
                <w:rFonts w:ascii="Times New Roman" w:eastAsia="Times New Roman" w:hAnsi="Times New Roman" w:cs="Times New Roman"/>
                <w:sz w:val="20"/>
                <w:szCs w:val="20"/>
                <w:lang w:val="ru-RU"/>
              </w:rPr>
              <w:t>Державний</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архів</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Львівської</w:t>
            </w:r>
            <w:proofErr w:type="spellEnd"/>
            <w:r w:rsidRPr="002226DE">
              <w:rPr>
                <w:rFonts w:ascii="Times New Roman" w:eastAsia="Times New Roman" w:hAnsi="Times New Roman" w:cs="Times New Roman"/>
                <w:sz w:val="20"/>
                <w:szCs w:val="20"/>
                <w:lang w:val="ru-RU"/>
              </w:rPr>
              <w:t xml:space="preserve"> </w:t>
            </w:r>
            <w:proofErr w:type="spellStart"/>
            <w:r w:rsidRPr="002226DE">
              <w:rPr>
                <w:rFonts w:ascii="Times New Roman" w:eastAsia="Times New Roman" w:hAnsi="Times New Roman" w:cs="Times New Roman"/>
                <w:sz w:val="20"/>
                <w:szCs w:val="20"/>
                <w:lang w:val="ru-RU"/>
              </w:rPr>
              <w:t>області</w:t>
            </w:r>
            <w:proofErr w:type="spellEnd"/>
          </w:p>
        </w:tc>
        <w:tc>
          <w:tcPr>
            <w:tcW w:w="1139" w:type="dxa"/>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Обласний бюджет</w:t>
            </w:r>
          </w:p>
        </w:tc>
        <w:tc>
          <w:tcPr>
            <w:tcW w:w="891" w:type="dxa"/>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2226DE"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50</w:t>
            </w:r>
          </w:p>
        </w:tc>
        <w:tc>
          <w:tcPr>
            <w:tcW w:w="3915" w:type="dxa"/>
            <w:vMerge w:val="restart"/>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r w:rsidRPr="002226DE">
              <w:rPr>
                <w:rFonts w:ascii="Times New Roman" w:eastAsia="Times New Roman" w:hAnsi="Times New Roman" w:cs="Times New Roman"/>
                <w:sz w:val="20"/>
                <w:szCs w:val="20"/>
                <w:lang w:val="uk-UA"/>
              </w:rPr>
              <w:t>Пришвидшення роботи комісії, що затверджує номенклатури справ</w:t>
            </w:r>
          </w:p>
        </w:tc>
      </w:tr>
      <w:tr w:rsidR="0059274D" w:rsidRPr="00923E96" w:rsidTr="008F56B5">
        <w:trPr>
          <w:trHeight w:val="555"/>
          <w:jc w:val="center"/>
        </w:trPr>
        <w:tc>
          <w:tcPr>
            <w:tcW w:w="2072" w:type="dxa"/>
            <w:vMerge/>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4" w:space="0" w:color="auto"/>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продукту</w:t>
            </w:r>
          </w:p>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Запроваджена інформаційна система по автоматизації затвердження номенклатур справ</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val="restart"/>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r>
      <w:tr w:rsidR="0059274D" w:rsidRPr="00923E96" w:rsidTr="008F56B5">
        <w:trPr>
          <w:trHeight w:val="555"/>
          <w:jc w:val="center"/>
        </w:trPr>
        <w:tc>
          <w:tcPr>
            <w:tcW w:w="2072" w:type="dxa"/>
            <w:vMerge/>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4" w:space="0" w:color="auto"/>
              <w:left w:val="single" w:sz="8" w:space="0" w:color="000000"/>
              <w:bottom w:val="single" w:sz="4" w:space="0" w:color="auto"/>
              <w:right w:val="single" w:sz="8" w:space="0" w:color="000000"/>
            </w:tcBorders>
            <w:tcMar>
              <w:top w:w="40" w:type="dxa"/>
              <w:left w:w="40" w:type="dxa"/>
              <w:bottom w:w="40" w:type="dxa"/>
              <w:right w:w="40" w:type="dxa"/>
            </w:tcMar>
            <w:vAlign w:val="center"/>
          </w:tcPr>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ефективності</w:t>
            </w:r>
          </w:p>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Середня вартість видатків на запровадження інформаційної -системи</w:t>
            </w:r>
          </w:p>
        </w:tc>
        <w:tc>
          <w:tcPr>
            <w:tcW w:w="1397" w:type="dxa"/>
            <w:vMerge/>
            <w:tcBorders>
              <w:left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top w:val="single" w:sz="4" w:space="0" w:color="auto"/>
              <w:left w:val="single" w:sz="8" w:space="0" w:color="000000"/>
              <w:bottom w:val="single" w:sz="4" w:space="0" w:color="auto"/>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r>
      <w:tr w:rsidR="0059274D" w:rsidRPr="00923E96" w:rsidTr="008F56B5">
        <w:trPr>
          <w:trHeight w:val="555"/>
          <w:jc w:val="center"/>
        </w:trPr>
        <w:tc>
          <w:tcPr>
            <w:tcW w:w="2072" w:type="dxa"/>
            <w:tcBorders>
              <w:top w:val="single" w:sz="4" w:space="0" w:color="auto"/>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5472" w:type="dxa"/>
            <w:tcBorders>
              <w:top w:val="single" w:sz="4" w:space="0" w:color="auto"/>
              <w:left w:val="single" w:sz="8" w:space="0" w:color="000000"/>
              <w:bottom w:val="single" w:sz="8" w:space="0" w:color="000000"/>
              <w:right w:val="single" w:sz="4" w:space="0" w:color="auto"/>
            </w:tcBorders>
            <w:tcMar>
              <w:top w:w="40" w:type="dxa"/>
              <w:left w:w="40" w:type="dxa"/>
              <w:bottom w:w="40" w:type="dxa"/>
              <w:right w:w="40" w:type="dxa"/>
            </w:tcMar>
            <w:vAlign w:val="center"/>
          </w:tcPr>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якості</w:t>
            </w:r>
          </w:p>
          <w:p w:rsidR="0059274D" w:rsidRPr="00923E96" w:rsidRDefault="0059274D" w:rsidP="008F56B5">
            <w:pPr>
              <w:spacing w:after="0" w:line="240" w:lineRule="auto"/>
              <w:rPr>
                <w:rFonts w:ascii="Times New Roman" w:eastAsia="Times New Roman" w:hAnsi="Times New Roman" w:cs="Times New Roman"/>
                <w:sz w:val="24"/>
                <w:szCs w:val="24"/>
                <w:lang w:val="uk-UA" w:eastAsia="uk-UA"/>
              </w:rPr>
            </w:pPr>
            <w:r w:rsidRPr="00923E96">
              <w:rPr>
                <w:rFonts w:ascii="Times New Roman" w:eastAsia="Times New Roman" w:hAnsi="Times New Roman" w:cs="Times New Roman"/>
                <w:color w:val="000000"/>
                <w:sz w:val="20"/>
                <w:szCs w:val="20"/>
                <w:lang w:val="uk-UA" w:eastAsia="uk-UA"/>
              </w:rPr>
              <w:t>Відсоток номенклатур справ, який опрацьовує інформаційна система</w:t>
            </w:r>
          </w:p>
        </w:tc>
        <w:tc>
          <w:tcPr>
            <w:tcW w:w="1397" w:type="dxa"/>
            <w:vMerge/>
            <w:tcBorders>
              <w:left w:val="single" w:sz="4" w:space="0" w:color="auto"/>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2030" w:type="dxa"/>
            <w:gridSpan w:val="2"/>
            <w:vMerge/>
            <w:tcBorders>
              <w:top w:val="single" w:sz="4" w:space="0" w:color="auto"/>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c>
          <w:tcPr>
            <w:tcW w:w="3915" w:type="dxa"/>
            <w:vMerge/>
            <w:tcBorders>
              <w:top w:val="single" w:sz="4" w:space="0" w:color="auto"/>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tcPr>
          <w:p w:rsidR="0059274D" w:rsidRPr="00923E96" w:rsidRDefault="0059274D" w:rsidP="008F56B5">
            <w:pPr>
              <w:spacing w:after="0" w:line="240" w:lineRule="auto"/>
              <w:jc w:val="center"/>
              <w:rPr>
                <w:rFonts w:ascii="Times New Roman" w:eastAsia="Times New Roman" w:hAnsi="Times New Roman" w:cs="Times New Roman"/>
                <w:sz w:val="20"/>
                <w:szCs w:val="20"/>
                <w:lang w:val="uk-UA"/>
              </w:rPr>
            </w:pPr>
          </w:p>
        </w:tc>
      </w:tr>
      <w:tr w:rsidR="008F56B5" w:rsidTr="008F56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6"/>
          <w:jc w:val="center"/>
        </w:trPr>
        <w:tc>
          <w:tcPr>
            <w:tcW w:w="7548" w:type="dxa"/>
            <w:gridSpan w:val="2"/>
          </w:tcPr>
          <w:p w:rsidR="008F56B5" w:rsidRPr="008F56B5" w:rsidRDefault="008F56B5" w:rsidP="008F56B5">
            <w:pPr>
              <w:spacing w:after="0" w:line="276" w:lineRule="auto"/>
              <w:ind w:left="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Всього</w:t>
            </w:r>
          </w:p>
        </w:tc>
        <w:tc>
          <w:tcPr>
            <w:tcW w:w="7338" w:type="dxa"/>
            <w:gridSpan w:val="4"/>
          </w:tcPr>
          <w:p w:rsidR="008F56B5" w:rsidRDefault="008F56B5" w:rsidP="008F56B5">
            <w:pPr>
              <w:spacing w:after="0" w:line="276" w:lineRule="auto"/>
              <w:ind w:left="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17897,431</w:t>
            </w:r>
          </w:p>
        </w:tc>
      </w:tr>
    </w:tbl>
    <w:p w:rsidR="009A05D3" w:rsidRDefault="005C1521" w:rsidP="005C1521">
      <w:pPr>
        <w:jc w:val="center"/>
      </w:pPr>
      <w:r>
        <w:rPr>
          <w:rFonts w:ascii="Times New Roman" w:eastAsia="Times New Roman" w:hAnsi="Times New Roman" w:cs="Times New Roman"/>
          <w:b/>
          <w:sz w:val="28"/>
          <w:szCs w:val="28"/>
          <w:lang w:val="uk-UA"/>
        </w:rPr>
        <w:t>____________________________________________________________________________________</w:t>
      </w:r>
    </w:p>
    <w:sectPr w:rsidR="009A05D3" w:rsidSect="005C1521">
      <w:headerReference w:type="default" r:id="rId6"/>
      <w:pgSz w:w="15840" w:h="1224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928" w:rsidRDefault="00FA3928" w:rsidP="0059274D">
      <w:pPr>
        <w:spacing w:after="0" w:line="240" w:lineRule="auto"/>
      </w:pPr>
      <w:r>
        <w:separator/>
      </w:r>
    </w:p>
  </w:endnote>
  <w:endnote w:type="continuationSeparator" w:id="0">
    <w:p w:rsidR="00FA3928" w:rsidRDefault="00FA3928" w:rsidP="00592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928" w:rsidRDefault="00FA3928" w:rsidP="0059274D">
      <w:pPr>
        <w:spacing w:after="0" w:line="240" w:lineRule="auto"/>
      </w:pPr>
      <w:r>
        <w:separator/>
      </w:r>
    </w:p>
  </w:footnote>
  <w:footnote w:type="continuationSeparator" w:id="0">
    <w:p w:rsidR="00FA3928" w:rsidRDefault="00FA3928" w:rsidP="00592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521" w:rsidRPr="005C1521" w:rsidRDefault="005C1521" w:rsidP="005C1521">
    <w:pPr>
      <w:pStyle w:val="a3"/>
      <w:tabs>
        <w:tab w:val="center" w:pos="6480"/>
        <w:tab w:val="left" w:pos="9330"/>
      </w:tabs>
      <w:rPr>
        <w:lang w:val="uk-UA"/>
      </w:rPr>
    </w:pPr>
    <w:r>
      <w:tab/>
    </w:r>
    <w:r>
      <w:tab/>
    </w:r>
    <w:sdt>
      <w:sdtPr>
        <w:id w:val="-883954363"/>
        <w:docPartObj>
          <w:docPartGallery w:val="Page Numbers (Top of Page)"/>
          <w:docPartUnique/>
        </w:docPartObj>
      </w:sdtPr>
      <w:sdtEndPr/>
      <w:sdtContent>
        <w:r>
          <w:fldChar w:fldCharType="begin"/>
        </w:r>
        <w:r>
          <w:instrText>PAGE   \* MERGEFORMAT</w:instrText>
        </w:r>
        <w:r>
          <w:fldChar w:fldCharType="separate"/>
        </w:r>
        <w:r w:rsidR="00B97564" w:rsidRPr="00B97564">
          <w:rPr>
            <w:noProof/>
            <w:lang w:val="ru-RU"/>
          </w:rPr>
          <w:t>4</w:t>
        </w:r>
        <w:r>
          <w:fldChar w:fldCharType="end"/>
        </w:r>
      </w:sdtContent>
    </w:sdt>
    <w:r>
      <w:tab/>
    </w:r>
    <w:r w:rsidRPr="005C1521">
      <w:rPr>
        <w:rFonts w:ascii="Times New Roman" w:hAnsi="Times New Roman" w:cs="Times New Roman"/>
        <w:lang w:val="uk-UA"/>
      </w:rPr>
      <w:t>Продовження додатка 4</w:t>
    </w:r>
  </w:p>
  <w:p w:rsidR="005C1521" w:rsidRDefault="005C152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74D"/>
    <w:rsid w:val="002226DE"/>
    <w:rsid w:val="00330507"/>
    <w:rsid w:val="00351741"/>
    <w:rsid w:val="003627E5"/>
    <w:rsid w:val="0046244D"/>
    <w:rsid w:val="004A3AC1"/>
    <w:rsid w:val="00576FD6"/>
    <w:rsid w:val="0059274D"/>
    <w:rsid w:val="005C1521"/>
    <w:rsid w:val="008437DF"/>
    <w:rsid w:val="008F56B5"/>
    <w:rsid w:val="009F1760"/>
    <w:rsid w:val="00B97564"/>
    <w:rsid w:val="00C05221"/>
    <w:rsid w:val="00E75160"/>
    <w:rsid w:val="00FA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262834"/>
  <w15:chartTrackingRefBased/>
  <w15:docId w15:val="{FA44C7E2-F2A3-4117-8E90-F1D4D16A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7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274D"/>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59274D"/>
  </w:style>
  <w:style w:type="paragraph" w:styleId="a5">
    <w:name w:val="footer"/>
    <w:basedOn w:val="a"/>
    <w:link w:val="a6"/>
    <w:uiPriority w:val="99"/>
    <w:unhideWhenUsed/>
    <w:rsid w:val="0059274D"/>
    <w:pPr>
      <w:tabs>
        <w:tab w:val="center" w:pos="4680"/>
        <w:tab w:val="right" w:pos="9360"/>
      </w:tabs>
      <w:spacing w:after="0" w:line="240" w:lineRule="auto"/>
    </w:pPr>
  </w:style>
  <w:style w:type="character" w:customStyle="1" w:styleId="a6">
    <w:name w:val="Нижній колонтитул Знак"/>
    <w:basedOn w:val="a0"/>
    <w:link w:val="a5"/>
    <w:uiPriority w:val="99"/>
    <w:rsid w:val="0059274D"/>
  </w:style>
  <w:style w:type="paragraph" w:styleId="a7">
    <w:name w:val="Balloon Text"/>
    <w:basedOn w:val="a"/>
    <w:link w:val="a8"/>
    <w:uiPriority w:val="99"/>
    <w:semiHidden/>
    <w:unhideWhenUsed/>
    <w:rsid w:val="00B97564"/>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975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865</Words>
  <Characters>4936</Characters>
  <Application>Microsoft Office Word</Application>
  <DocSecurity>0</DocSecurity>
  <Lines>41</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2022-08-03T14:35:00Z</cp:lastPrinted>
  <dcterms:created xsi:type="dcterms:W3CDTF">2022-07-21T14:44:00Z</dcterms:created>
  <dcterms:modified xsi:type="dcterms:W3CDTF">2022-08-03T14:35:00Z</dcterms:modified>
</cp:coreProperties>
</file>