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991" w:rsidRDefault="006D1991" w:rsidP="007F5B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6D1991" w:rsidRPr="00560024" w:rsidRDefault="00F7706B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4820"/>
        <w:rPr>
          <w:color w:val="000000"/>
          <w:sz w:val="28"/>
          <w:szCs w:val="28"/>
        </w:rPr>
      </w:pPr>
      <w:r w:rsidRPr="00560024">
        <w:rPr>
          <w:color w:val="000000"/>
          <w:sz w:val="28"/>
          <w:szCs w:val="28"/>
        </w:rPr>
        <w:t>Додаток 1</w:t>
      </w:r>
    </w:p>
    <w:p w:rsidR="007F5BE9" w:rsidRPr="001A7D32" w:rsidRDefault="00F7706B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4820"/>
        <w:rPr>
          <w:color w:val="000000"/>
          <w:sz w:val="28"/>
          <w:szCs w:val="28"/>
        </w:rPr>
      </w:pPr>
      <w:r w:rsidRPr="00560024">
        <w:rPr>
          <w:color w:val="000000"/>
          <w:sz w:val="28"/>
          <w:szCs w:val="28"/>
        </w:rPr>
        <w:t>до р</w:t>
      </w:r>
      <w:r w:rsidR="007F5BE9" w:rsidRPr="00560024">
        <w:rPr>
          <w:color w:val="000000"/>
          <w:sz w:val="28"/>
          <w:szCs w:val="28"/>
        </w:rPr>
        <w:t>озпоряд</w:t>
      </w:r>
      <w:r w:rsidR="007F5BE9" w:rsidRPr="001A7D32">
        <w:rPr>
          <w:color w:val="000000"/>
          <w:sz w:val="28"/>
          <w:szCs w:val="28"/>
        </w:rPr>
        <w:t>ження начальника</w:t>
      </w:r>
    </w:p>
    <w:p w:rsidR="007F5BE9" w:rsidRPr="00815BC8" w:rsidRDefault="007F5BE9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4820"/>
        <w:rPr>
          <w:color w:val="000000"/>
          <w:sz w:val="28"/>
          <w:szCs w:val="28"/>
        </w:rPr>
      </w:pPr>
      <w:r w:rsidRPr="00815BC8">
        <w:rPr>
          <w:color w:val="000000"/>
          <w:sz w:val="28"/>
          <w:szCs w:val="28"/>
        </w:rPr>
        <w:t>обласної військової адміністрації</w:t>
      </w:r>
    </w:p>
    <w:p w:rsidR="006D1991" w:rsidRPr="00815BC8" w:rsidRDefault="006C1663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4820"/>
        <w:rPr>
          <w:sz w:val="28"/>
          <w:szCs w:val="28"/>
          <w:lang w:eastAsia="ru-RU"/>
        </w:rPr>
      </w:pPr>
      <w:r w:rsidRPr="00815BC8">
        <w:rPr>
          <w:sz w:val="28"/>
          <w:szCs w:val="28"/>
          <w:lang w:eastAsia="ru-RU"/>
        </w:rPr>
        <w:t>11.04.2022 № 24/0/5-22ВА</w:t>
      </w:r>
    </w:p>
    <w:p w:rsidR="006C1663" w:rsidRPr="00815BC8" w:rsidRDefault="006C1663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4820"/>
        <w:rPr>
          <w:sz w:val="28"/>
          <w:szCs w:val="28"/>
          <w:lang w:eastAsia="ru-RU"/>
        </w:rPr>
      </w:pPr>
      <w:r w:rsidRPr="00815BC8">
        <w:rPr>
          <w:sz w:val="28"/>
          <w:szCs w:val="28"/>
          <w:lang w:eastAsia="ru-RU"/>
        </w:rPr>
        <w:t>(у редакції розпорядження начальника</w:t>
      </w:r>
    </w:p>
    <w:p w:rsidR="006C1663" w:rsidRPr="00815BC8" w:rsidRDefault="006C1663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4820"/>
        <w:rPr>
          <w:sz w:val="28"/>
          <w:szCs w:val="28"/>
          <w:lang w:eastAsia="ru-RU"/>
        </w:rPr>
      </w:pPr>
      <w:r w:rsidRPr="00815BC8">
        <w:rPr>
          <w:sz w:val="28"/>
          <w:szCs w:val="28"/>
          <w:lang w:eastAsia="ru-RU"/>
        </w:rPr>
        <w:t>обласної військової адміністрації</w:t>
      </w:r>
    </w:p>
    <w:p w:rsidR="006C1663" w:rsidRPr="00815BC8" w:rsidRDefault="006C1663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4820"/>
        <w:rPr>
          <w:sz w:val="28"/>
          <w:szCs w:val="28"/>
          <w:lang w:eastAsia="ru-RU"/>
        </w:rPr>
      </w:pPr>
      <w:r w:rsidRPr="00815BC8">
        <w:rPr>
          <w:sz w:val="28"/>
          <w:szCs w:val="28"/>
          <w:lang w:eastAsia="ru-RU"/>
        </w:rPr>
        <w:t>від___________ №____________)</w:t>
      </w:r>
    </w:p>
    <w:p w:rsidR="006C1663" w:rsidRPr="00815BC8" w:rsidRDefault="006C1663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4820"/>
        <w:rPr>
          <w:color w:val="000000"/>
          <w:sz w:val="28"/>
          <w:szCs w:val="28"/>
        </w:rPr>
      </w:pPr>
    </w:p>
    <w:p w:rsidR="006D1991" w:rsidRPr="00815BC8" w:rsidRDefault="009137B5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 w:rsidRPr="00815BC8">
        <w:rPr>
          <w:b/>
          <w:color w:val="000000"/>
          <w:sz w:val="26"/>
          <w:szCs w:val="26"/>
        </w:rPr>
        <w:t>ПАСПОРТ</w:t>
      </w:r>
    </w:p>
    <w:p w:rsidR="006D1991" w:rsidRPr="00815BC8" w:rsidRDefault="00B23364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 w:rsidRPr="00815BC8">
        <w:rPr>
          <w:b/>
          <w:color w:val="000000"/>
          <w:sz w:val="26"/>
          <w:szCs w:val="26"/>
        </w:rPr>
        <w:t>Комплексної програми</w:t>
      </w:r>
      <w:r w:rsidR="009137B5" w:rsidRPr="00815BC8">
        <w:rPr>
          <w:b/>
          <w:color w:val="000000"/>
          <w:sz w:val="26"/>
          <w:szCs w:val="26"/>
        </w:rPr>
        <w:t xml:space="preserve"> підтримки </w:t>
      </w:r>
      <w:r w:rsidR="009137B5" w:rsidRPr="00815BC8">
        <w:rPr>
          <w:b/>
          <w:color w:val="1D1D1B"/>
          <w:sz w:val="26"/>
          <w:szCs w:val="26"/>
        </w:rPr>
        <w:t xml:space="preserve">внутрішньо переміщених осіб </w:t>
      </w:r>
      <w:r w:rsidR="009137B5" w:rsidRPr="00815BC8">
        <w:rPr>
          <w:b/>
          <w:color w:val="000000"/>
          <w:sz w:val="26"/>
          <w:szCs w:val="26"/>
        </w:rPr>
        <w:t>на період дії воєнного стану в Україні (далі – Програма)</w:t>
      </w:r>
    </w:p>
    <w:p w:rsidR="006D1991" w:rsidRPr="00815BC8" w:rsidRDefault="006D1991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16"/>
          <w:szCs w:val="16"/>
        </w:rPr>
      </w:pPr>
    </w:p>
    <w:p w:rsidR="006D1991" w:rsidRPr="00815BC8" w:rsidRDefault="009137B5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  <w:r w:rsidRPr="00815BC8">
        <w:rPr>
          <w:color w:val="000000"/>
          <w:sz w:val="26"/>
          <w:szCs w:val="26"/>
        </w:rPr>
        <w:t xml:space="preserve">1. Ініціатори розроблення Програми: Львівська обласна військова адміністрація, департамент соціального захисту населення Львівської обласної </w:t>
      </w:r>
      <w:r w:rsidR="007E2233" w:rsidRPr="00815BC8">
        <w:rPr>
          <w:color w:val="000000"/>
          <w:sz w:val="26"/>
          <w:szCs w:val="26"/>
        </w:rPr>
        <w:t>військової</w:t>
      </w:r>
      <w:r w:rsidRPr="00815BC8">
        <w:rPr>
          <w:color w:val="000000"/>
          <w:sz w:val="26"/>
          <w:szCs w:val="26"/>
        </w:rPr>
        <w:t xml:space="preserve"> адміністрації, департамент дорожнього господарства Львівської обласної </w:t>
      </w:r>
      <w:r w:rsidR="007E2233" w:rsidRPr="00815BC8">
        <w:rPr>
          <w:color w:val="000000"/>
          <w:sz w:val="26"/>
          <w:szCs w:val="26"/>
        </w:rPr>
        <w:t>військової</w:t>
      </w:r>
      <w:r w:rsidRPr="00815BC8">
        <w:rPr>
          <w:color w:val="000000"/>
          <w:sz w:val="26"/>
          <w:szCs w:val="26"/>
        </w:rPr>
        <w:t xml:space="preserve"> адміністрації, управління туризму та курортів Львівської обласної </w:t>
      </w:r>
      <w:r w:rsidR="007E2233" w:rsidRPr="00815BC8">
        <w:rPr>
          <w:color w:val="000000"/>
          <w:sz w:val="26"/>
          <w:szCs w:val="26"/>
        </w:rPr>
        <w:t>військової</w:t>
      </w:r>
      <w:r w:rsidRPr="00815BC8">
        <w:rPr>
          <w:color w:val="000000"/>
          <w:sz w:val="26"/>
          <w:szCs w:val="26"/>
        </w:rPr>
        <w:t xml:space="preserve"> адміністрації, управління транспорту та зв’язку Львівської обласної </w:t>
      </w:r>
      <w:r w:rsidR="007E2233" w:rsidRPr="00815BC8">
        <w:rPr>
          <w:color w:val="000000"/>
          <w:sz w:val="26"/>
          <w:szCs w:val="26"/>
        </w:rPr>
        <w:t>військової</w:t>
      </w:r>
      <w:r w:rsidRPr="00815BC8">
        <w:rPr>
          <w:color w:val="000000"/>
          <w:sz w:val="26"/>
          <w:szCs w:val="26"/>
        </w:rPr>
        <w:t xml:space="preserve"> адміністрації.</w:t>
      </w:r>
    </w:p>
    <w:p w:rsidR="006D1991" w:rsidRPr="00815BC8" w:rsidRDefault="006D1991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16"/>
          <w:szCs w:val="16"/>
          <w:u w:val="single"/>
        </w:rPr>
      </w:pPr>
    </w:p>
    <w:p w:rsidR="006D1991" w:rsidRPr="00815BC8" w:rsidRDefault="009137B5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  <w:r w:rsidRPr="00815BC8">
        <w:rPr>
          <w:color w:val="000000"/>
          <w:sz w:val="26"/>
          <w:szCs w:val="26"/>
        </w:rPr>
        <w:t xml:space="preserve">2. Дата, номер документа про затвердження Програми: </w:t>
      </w:r>
      <w:r w:rsidR="006C1663" w:rsidRPr="00815BC8">
        <w:rPr>
          <w:sz w:val="26"/>
          <w:szCs w:val="26"/>
          <w:lang w:eastAsia="ru-RU"/>
        </w:rPr>
        <w:t xml:space="preserve">розпорядження начальника обласної військової адміністрації </w:t>
      </w:r>
      <w:r w:rsidR="00F168E1" w:rsidRPr="00815BC8">
        <w:rPr>
          <w:sz w:val="26"/>
          <w:szCs w:val="26"/>
          <w:lang w:eastAsia="ru-RU"/>
        </w:rPr>
        <w:t>від 11.04.2022 № 24/0/5-22ВА</w:t>
      </w:r>
      <w:r w:rsidR="006C1663" w:rsidRPr="00815BC8">
        <w:rPr>
          <w:sz w:val="26"/>
          <w:szCs w:val="26"/>
          <w:lang w:eastAsia="ru-RU"/>
        </w:rPr>
        <w:t>.</w:t>
      </w:r>
    </w:p>
    <w:p w:rsidR="006D1991" w:rsidRPr="00815BC8" w:rsidRDefault="006D1991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16"/>
          <w:szCs w:val="16"/>
        </w:rPr>
      </w:pPr>
    </w:p>
    <w:p w:rsidR="006D1991" w:rsidRPr="00815BC8" w:rsidRDefault="009137B5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  <w:r w:rsidRPr="00815BC8">
        <w:rPr>
          <w:color w:val="000000"/>
          <w:sz w:val="26"/>
          <w:szCs w:val="26"/>
        </w:rPr>
        <w:t xml:space="preserve">3. Розробники Програми: Львівська обласна військова адміністрація, департамент соціального захисту населення Львівської обласної </w:t>
      </w:r>
      <w:r w:rsidR="007E2233" w:rsidRPr="00815BC8">
        <w:rPr>
          <w:color w:val="000000"/>
          <w:sz w:val="26"/>
          <w:szCs w:val="26"/>
        </w:rPr>
        <w:t>військової</w:t>
      </w:r>
      <w:r w:rsidRPr="00815BC8">
        <w:rPr>
          <w:color w:val="000000"/>
          <w:sz w:val="26"/>
          <w:szCs w:val="26"/>
        </w:rPr>
        <w:t xml:space="preserve"> адміністрації, </w:t>
      </w:r>
      <w:r w:rsidR="007E2233" w:rsidRPr="00815BC8">
        <w:rPr>
          <w:color w:val="000000"/>
          <w:sz w:val="26"/>
          <w:szCs w:val="26"/>
        </w:rPr>
        <w:t>д</w:t>
      </w:r>
      <w:r w:rsidRPr="00815BC8">
        <w:rPr>
          <w:color w:val="000000"/>
          <w:sz w:val="26"/>
          <w:szCs w:val="26"/>
        </w:rPr>
        <w:t xml:space="preserve">епартамент дорожнього господарства Львівської обласної </w:t>
      </w:r>
      <w:r w:rsidR="007E2233" w:rsidRPr="00815BC8">
        <w:rPr>
          <w:color w:val="000000"/>
          <w:sz w:val="26"/>
          <w:szCs w:val="26"/>
        </w:rPr>
        <w:t>військової</w:t>
      </w:r>
      <w:r w:rsidRPr="00815BC8">
        <w:rPr>
          <w:color w:val="000000"/>
          <w:sz w:val="26"/>
          <w:szCs w:val="26"/>
        </w:rPr>
        <w:t xml:space="preserve"> адміністрації, управління туризму та курортів Львівської </w:t>
      </w:r>
      <w:r w:rsidR="007E2233" w:rsidRPr="00560024">
        <w:rPr>
          <w:color w:val="000000"/>
          <w:sz w:val="26"/>
          <w:szCs w:val="26"/>
        </w:rPr>
        <w:t>військової</w:t>
      </w:r>
      <w:r w:rsidR="00560024" w:rsidRPr="00560024">
        <w:rPr>
          <w:color w:val="000000"/>
          <w:sz w:val="26"/>
          <w:szCs w:val="26"/>
        </w:rPr>
        <w:t xml:space="preserve"> </w:t>
      </w:r>
      <w:r w:rsidRPr="00560024">
        <w:rPr>
          <w:color w:val="000000"/>
          <w:sz w:val="26"/>
          <w:szCs w:val="26"/>
        </w:rPr>
        <w:t>адм</w:t>
      </w:r>
      <w:bookmarkStart w:id="0" w:name="_GoBack"/>
      <w:bookmarkEnd w:id="0"/>
      <w:r w:rsidRPr="00560024">
        <w:rPr>
          <w:color w:val="000000"/>
          <w:sz w:val="26"/>
          <w:szCs w:val="26"/>
        </w:rPr>
        <w:t>іністрації</w:t>
      </w:r>
      <w:r w:rsidRPr="00815BC8">
        <w:rPr>
          <w:color w:val="000000"/>
          <w:sz w:val="26"/>
          <w:szCs w:val="26"/>
        </w:rPr>
        <w:t xml:space="preserve">, управління транспорту та зв’язку Львівської обласної </w:t>
      </w:r>
      <w:r w:rsidR="007E2233" w:rsidRPr="00815BC8">
        <w:rPr>
          <w:color w:val="000000"/>
          <w:sz w:val="26"/>
          <w:szCs w:val="26"/>
        </w:rPr>
        <w:t>військової</w:t>
      </w:r>
      <w:r w:rsidRPr="00815BC8">
        <w:rPr>
          <w:color w:val="000000"/>
          <w:sz w:val="26"/>
          <w:szCs w:val="26"/>
        </w:rPr>
        <w:t xml:space="preserve"> адміністрації.</w:t>
      </w:r>
    </w:p>
    <w:p w:rsidR="006D1991" w:rsidRPr="00815BC8" w:rsidRDefault="006D1991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</w:p>
    <w:p w:rsidR="006D1991" w:rsidRPr="00815BC8" w:rsidRDefault="009137B5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  <w:r w:rsidRPr="00815BC8">
        <w:rPr>
          <w:color w:val="000000"/>
          <w:sz w:val="26"/>
          <w:szCs w:val="26"/>
        </w:rPr>
        <w:t xml:space="preserve">4. Відповідальні виконавці Програми: департамент соціального захисту населення Львівської обласної </w:t>
      </w:r>
      <w:r w:rsidR="007E2233" w:rsidRPr="00815BC8">
        <w:rPr>
          <w:color w:val="000000"/>
          <w:sz w:val="26"/>
          <w:szCs w:val="26"/>
        </w:rPr>
        <w:t>військової</w:t>
      </w:r>
      <w:r w:rsidRPr="00815BC8">
        <w:rPr>
          <w:color w:val="000000"/>
          <w:sz w:val="26"/>
          <w:szCs w:val="26"/>
        </w:rPr>
        <w:t xml:space="preserve"> адміністрації, департамент дорожнього господарства Львівської обласної </w:t>
      </w:r>
      <w:r w:rsidR="007E2233" w:rsidRPr="00815BC8">
        <w:rPr>
          <w:color w:val="000000"/>
          <w:sz w:val="26"/>
          <w:szCs w:val="26"/>
        </w:rPr>
        <w:t>військової</w:t>
      </w:r>
      <w:r w:rsidRPr="00815BC8">
        <w:rPr>
          <w:color w:val="000000"/>
          <w:sz w:val="26"/>
          <w:szCs w:val="26"/>
        </w:rPr>
        <w:t xml:space="preserve"> адміністрації, управління туризму та курортів Львівської обласної </w:t>
      </w:r>
      <w:r w:rsidR="007E2233" w:rsidRPr="00815BC8">
        <w:rPr>
          <w:color w:val="000000"/>
          <w:sz w:val="26"/>
          <w:szCs w:val="26"/>
        </w:rPr>
        <w:t>військової</w:t>
      </w:r>
      <w:r w:rsidRPr="00815BC8">
        <w:rPr>
          <w:color w:val="000000"/>
          <w:sz w:val="26"/>
          <w:szCs w:val="26"/>
        </w:rPr>
        <w:t xml:space="preserve"> адміністрації, управління транспорту та зв’язку Львівської обласної </w:t>
      </w:r>
      <w:r w:rsidR="007E2233" w:rsidRPr="00815BC8">
        <w:rPr>
          <w:color w:val="000000"/>
          <w:sz w:val="26"/>
          <w:szCs w:val="26"/>
        </w:rPr>
        <w:t>військової</w:t>
      </w:r>
      <w:r w:rsidRPr="00815BC8">
        <w:rPr>
          <w:color w:val="000000"/>
          <w:sz w:val="26"/>
          <w:szCs w:val="26"/>
        </w:rPr>
        <w:t xml:space="preserve"> адміністрації, структурні підрозділи Львівської обласної військової адміністрації, </w:t>
      </w:r>
      <w:proofErr w:type="spellStart"/>
      <w:r w:rsidRPr="00815BC8">
        <w:rPr>
          <w:color w:val="000000"/>
          <w:sz w:val="26"/>
          <w:szCs w:val="26"/>
        </w:rPr>
        <w:t>КЗ</w:t>
      </w:r>
      <w:proofErr w:type="spellEnd"/>
      <w:r w:rsidRPr="00815BC8">
        <w:rPr>
          <w:color w:val="000000"/>
          <w:sz w:val="26"/>
          <w:szCs w:val="26"/>
        </w:rPr>
        <w:t xml:space="preserve"> ЛОР «Центр моніторингу соціальних програм та контролю за призначенням і виплатою </w:t>
      </w:r>
      <w:proofErr w:type="spellStart"/>
      <w:r w:rsidRPr="00815BC8">
        <w:rPr>
          <w:color w:val="000000"/>
          <w:sz w:val="26"/>
          <w:szCs w:val="26"/>
        </w:rPr>
        <w:t>допомог</w:t>
      </w:r>
      <w:proofErr w:type="spellEnd"/>
      <w:r w:rsidRPr="00815BC8">
        <w:rPr>
          <w:color w:val="000000"/>
          <w:sz w:val="26"/>
          <w:szCs w:val="26"/>
        </w:rPr>
        <w:t>», територіальні громади Львівської області.</w:t>
      </w:r>
    </w:p>
    <w:p w:rsidR="006D1991" w:rsidRPr="00815BC8" w:rsidRDefault="006D1991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</w:p>
    <w:p w:rsidR="006D1991" w:rsidRPr="00815BC8" w:rsidRDefault="009137B5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  <w:r w:rsidRPr="00815BC8">
        <w:rPr>
          <w:color w:val="000000"/>
          <w:sz w:val="26"/>
          <w:szCs w:val="26"/>
        </w:rPr>
        <w:t>5. Учасники Програми: установи, заклади та організації усіх форм власності, які надають послуги внутрішньо переміщеним особам області та військовим, зокрема щодо тимчасового проживання (розміщення), харчування, пасажирських перевезень, перевезення гуманітарних вантажів, соціального обслуговування тощо.</w:t>
      </w:r>
    </w:p>
    <w:p w:rsidR="006D1991" w:rsidRPr="00815BC8" w:rsidRDefault="006D1991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16"/>
          <w:szCs w:val="16"/>
        </w:rPr>
      </w:pPr>
    </w:p>
    <w:p w:rsidR="006D1991" w:rsidRPr="00815BC8" w:rsidRDefault="009137B5" w:rsidP="0075033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  <w:r w:rsidRPr="00815BC8">
        <w:rPr>
          <w:color w:val="000000"/>
          <w:sz w:val="26"/>
          <w:szCs w:val="26"/>
        </w:rPr>
        <w:t>6. Термін реалізації Програми: на час дії</w:t>
      </w:r>
      <w:r w:rsidR="007F5BE9" w:rsidRPr="00815BC8">
        <w:rPr>
          <w:color w:val="000000"/>
          <w:sz w:val="26"/>
          <w:szCs w:val="26"/>
        </w:rPr>
        <w:t xml:space="preserve"> воєнного стану в Україні та 30 </w:t>
      </w:r>
      <w:r w:rsidRPr="00815BC8">
        <w:rPr>
          <w:color w:val="000000"/>
          <w:sz w:val="26"/>
          <w:szCs w:val="26"/>
        </w:rPr>
        <w:t>днів після його завершення.</w:t>
      </w:r>
    </w:p>
    <w:p w:rsidR="006D1991" w:rsidRPr="00815BC8" w:rsidRDefault="006D1991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16"/>
          <w:szCs w:val="16"/>
        </w:rPr>
      </w:pPr>
    </w:p>
    <w:p w:rsidR="006C1663" w:rsidRPr="00815BC8" w:rsidRDefault="009137B5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  <w:r w:rsidRPr="00815BC8">
        <w:rPr>
          <w:color w:val="000000"/>
          <w:sz w:val="26"/>
          <w:szCs w:val="26"/>
        </w:rPr>
        <w:t>7. Загальний обсяг фінансових ресурсів</w:t>
      </w:r>
      <w:r w:rsidR="006C1663" w:rsidRPr="00815BC8">
        <w:rPr>
          <w:color w:val="000000"/>
          <w:sz w:val="26"/>
          <w:szCs w:val="26"/>
        </w:rPr>
        <w:t>:</w:t>
      </w:r>
    </w:p>
    <w:p w:rsidR="006C1663" w:rsidRPr="00815BC8" w:rsidRDefault="00750337" w:rsidP="006C166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  <w:r w:rsidRPr="00815BC8">
        <w:rPr>
          <w:color w:val="000000"/>
          <w:sz w:val="26"/>
          <w:szCs w:val="26"/>
        </w:rPr>
        <w:t>7.1. Н</w:t>
      </w:r>
      <w:r w:rsidR="006C1663" w:rsidRPr="00815BC8">
        <w:rPr>
          <w:color w:val="000000"/>
          <w:sz w:val="26"/>
          <w:szCs w:val="26"/>
        </w:rPr>
        <w:t>а 2022 рік</w:t>
      </w:r>
      <w:r w:rsidR="00745D68" w:rsidRPr="00815BC8">
        <w:rPr>
          <w:color w:val="000000"/>
          <w:sz w:val="26"/>
          <w:szCs w:val="26"/>
        </w:rPr>
        <w:t xml:space="preserve"> -</w:t>
      </w:r>
      <w:r w:rsidR="006C1663" w:rsidRPr="00815BC8">
        <w:rPr>
          <w:color w:val="000000"/>
          <w:sz w:val="26"/>
          <w:szCs w:val="26"/>
        </w:rPr>
        <w:t xml:space="preserve"> 17</w:t>
      </w:r>
      <w:r w:rsidR="00C54DA3">
        <w:rPr>
          <w:color w:val="000000"/>
          <w:sz w:val="26"/>
          <w:szCs w:val="26"/>
        </w:rPr>
        <w:t> </w:t>
      </w:r>
      <w:r w:rsidR="006C1663" w:rsidRPr="00815BC8">
        <w:rPr>
          <w:color w:val="000000"/>
          <w:sz w:val="26"/>
          <w:szCs w:val="26"/>
        </w:rPr>
        <w:t>591</w:t>
      </w:r>
      <w:r w:rsidR="00C54DA3">
        <w:rPr>
          <w:color w:val="000000"/>
          <w:sz w:val="26"/>
          <w:szCs w:val="26"/>
        </w:rPr>
        <w:t xml:space="preserve">,00 </w:t>
      </w:r>
      <w:r w:rsidR="006C1663" w:rsidRPr="00815BC8">
        <w:rPr>
          <w:color w:val="000000"/>
          <w:sz w:val="26"/>
          <w:szCs w:val="26"/>
        </w:rPr>
        <w:t xml:space="preserve"> тис. </w:t>
      </w:r>
      <w:proofErr w:type="spellStart"/>
      <w:r w:rsidR="006C1663" w:rsidRPr="00815BC8">
        <w:rPr>
          <w:color w:val="000000"/>
          <w:sz w:val="26"/>
          <w:szCs w:val="26"/>
        </w:rPr>
        <w:t>грн</w:t>
      </w:r>
      <w:proofErr w:type="spellEnd"/>
      <w:r w:rsidR="006C1663" w:rsidRPr="00815BC8">
        <w:rPr>
          <w:color w:val="000000"/>
          <w:sz w:val="26"/>
          <w:szCs w:val="26"/>
        </w:rPr>
        <w:t>;</w:t>
      </w:r>
    </w:p>
    <w:p w:rsidR="006D1991" w:rsidRDefault="0075033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6"/>
          <w:szCs w:val="26"/>
          <w:lang w:eastAsia="ru-RU"/>
        </w:rPr>
      </w:pPr>
      <w:r w:rsidRPr="00815BC8">
        <w:rPr>
          <w:color w:val="000000"/>
          <w:sz w:val="26"/>
          <w:szCs w:val="26"/>
        </w:rPr>
        <w:t>7.2. Н</w:t>
      </w:r>
      <w:r w:rsidR="006C1663" w:rsidRPr="00815BC8">
        <w:rPr>
          <w:color w:val="000000"/>
          <w:sz w:val="26"/>
          <w:szCs w:val="26"/>
        </w:rPr>
        <w:t xml:space="preserve">а 2023 </w:t>
      </w:r>
      <w:proofErr w:type="spellStart"/>
      <w:r w:rsidR="006C1663" w:rsidRPr="00815BC8">
        <w:rPr>
          <w:color w:val="000000"/>
          <w:sz w:val="26"/>
          <w:szCs w:val="26"/>
        </w:rPr>
        <w:t>рік</w:t>
      </w:r>
      <w:r w:rsidR="00745D68" w:rsidRPr="00815BC8">
        <w:rPr>
          <w:color w:val="000000"/>
          <w:sz w:val="26"/>
          <w:szCs w:val="26"/>
        </w:rPr>
        <w:t>-</w:t>
      </w:r>
      <w:proofErr w:type="spellEnd"/>
      <w:r w:rsidR="00745D68" w:rsidRPr="00815BC8">
        <w:rPr>
          <w:color w:val="000000"/>
          <w:sz w:val="26"/>
          <w:szCs w:val="26"/>
        </w:rPr>
        <w:t xml:space="preserve"> </w:t>
      </w:r>
      <w:r w:rsidRPr="00815BC8">
        <w:rPr>
          <w:sz w:val="26"/>
          <w:szCs w:val="26"/>
          <w:lang w:eastAsia="ru-RU"/>
        </w:rPr>
        <w:t>11000, 00 тис. грн.</w:t>
      </w:r>
    </w:p>
    <w:p w:rsidR="00C54DA3" w:rsidRPr="00750337" w:rsidRDefault="00C54DA3" w:rsidP="00C54DA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  <w:r w:rsidRPr="00815BC8">
        <w:rPr>
          <w:color w:val="000000"/>
          <w:sz w:val="26"/>
          <w:szCs w:val="26"/>
        </w:rPr>
        <w:t>7.</w:t>
      </w:r>
      <w:r>
        <w:rPr>
          <w:color w:val="000000"/>
          <w:sz w:val="26"/>
          <w:szCs w:val="26"/>
        </w:rPr>
        <w:t>3</w:t>
      </w:r>
      <w:r w:rsidRPr="00815BC8">
        <w:rPr>
          <w:color w:val="000000"/>
          <w:sz w:val="26"/>
          <w:szCs w:val="26"/>
        </w:rPr>
        <w:t>. На 202</w:t>
      </w:r>
      <w:r>
        <w:rPr>
          <w:color w:val="000000"/>
          <w:sz w:val="26"/>
          <w:szCs w:val="26"/>
        </w:rPr>
        <w:t>4</w:t>
      </w:r>
      <w:r w:rsidRPr="00815BC8">
        <w:rPr>
          <w:color w:val="000000"/>
          <w:sz w:val="26"/>
          <w:szCs w:val="26"/>
        </w:rPr>
        <w:t xml:space="preserve"> </w:t>
      </w:r>
      <w:proofErr w:type="spellStart"/>
      <w:r w:rsidRPr="00815BC8">
        <w:rPr>
          <w:color w:val="000000"/>
          <w:sz w:val="26"/>
          <w:szCs w:val="26"/>
        </w:rPr>
        <w:t>рік-</w:t>
      </w:r>
      <w:proofErr w:type="spellEnd"/>
      <w:r w:rsidRPr="00815BC8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  <w:lang w:eastAsia="ru-RU"/>
        </w:rPr>
        <w:t xml:space="preserve">2 </w:t>
      </w:r>
      <w:r w:rsidRPr="00815BC8">
        <w:rPr>
          <w:sz w:val="26"/>
          <w:szCs w:val="26"/>
          <w:lang w:eastAsia="ru-RU"/>
        </w:rPr>
        <w:t>000, 00 тис. грн.</w:t>
      </w:r>
    </w:p>
    <w:p w:rsidR="006D1991" w:rsidRPr="006C1663" w:rsidRDefault="00750337" w:rsidP="0075033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</w:t>
      </w:r>
    </w:p>
    <w:p w:rsidR="006D1991" w:rsidRPr="007F5BE9" w:rsidRDefault="006D1991" w:rsidP="007F5BE9">
      <w:pPr>
        <w:ind w:firstLine="720"/>
        <w:rPr>
          <w:sz w:val="28"/>
          <w:szCs w:val="28"/>
        </w:rPr>
      </w:pPr>
    </w:p>
    <w:sectPr w:rsidR="006D1991" w:rsidRPr="007F5BE9" w:rsidSect="006D1991">
      <w:headerReference w:type="default" r:id="rId8"/>
      <w:footerReference w:type="default" r:id="rId9"/>
      <w:pgSz w:w="11906" w:h="16838"/>
      <w:pgMar w:top="1134" w:right="567" w:bottom="28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9B7" w:rsidRDefault="008019B7" w:rsidP="006D1991">
      <w:r>
        <w:separator/>
      </w:r>
    </w:p>
  </w:endnote>
  <w:endnote w:type="continuationSeparator" w:id="1">
    <w:p w:rsidR="008019B7" w:rsidRDefault="008019B7" w:rsidP="006D1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Yu Gothic UI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991" w:rsidRDefault="006D1991">
    <w:pPr>
      <w:widowControl w:val="0"/>
      <w:pBdr>
        <w:top w:val="nil"/>
        <w:left w:val="nil"/>
        <w:bottom w:val="nil"/>
        <w:right w:val="nil"/>
        <w:between w:val="nil"/>
      </w:pBdr>
      <w:jc w:val="right"/>
      <w:rPr>
        <w:rFonts w:ascii="Liberation Serif" w:eastAsia="Liberation Serif" w:hAnsi="Liberation Serif" w:cs="Liberation Serif"/>
        <w:color w:val="000000"/>
        <w:sz w:val="21"/>
        <w:szCs w:val="21"/>
      </w:rPr>
    </w:pPr>
  </w:p>
  <w:p w:rsidR="006D1991" w:rsidRDefault="006D1991">
    <w:pPr>
      <w:widowControl w:val="0"/>
      <w:pBdr>
        <w:top w:val="nil"/>
        <w:left w:val="nil"/>
        <w:bottom w:val="nil"/>
        <w:right w:val="nil"/>
        <w:between w:val="nil"/>
      </w:pBdr>
      <w:rPr>
        <w:rFonts w:ascii="Liberation Serif" w:eastAsia="Liberation Serif" w:hAnsi="Liberation Serif" w:cs="Liberation Serif"/>
        <w:color w:val="000000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9B7" w:rsidRDefault="008019B7" w:rsidP="006D1991">
      <w:r>
        <w:separator/>
      </w:r>
    </w:p>
  </w:footnote>
  <w:footnote w:type="continuationSeparator" w:id="1">
    <w:p w:rsidR="008019B7" w:rsidRDefault="008019B7" w:rsidP="006D19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991" w:rsidRPr="007F5BE9" w:rsidRDefault="00EE2657">
    <w:pPr>
      <w:pBdr>
        <w:top w:val="nil"/>
        <w:left w:val="nil"/>
        <w:bottom w:val="nil"/>
        <w:right w:val="nil"/>
        <w:between w:val="nil"/>
      </w:pBdr>
      <w:spacing w:line="360" w:lineRule="auto"/>
      <w:jc w:val="center"/>
      <w:rPr>
        <w:rFonts w:eastAsia="Liberation Serif"/>
        <w:color w:val="000000"/>
        <w:sz w:val="24"/>
        <w:szCs w:val="24"/>
      </w:rPr>
    </w:pPr>
    <w:r w:rsidRPr="007F5BE9">
      <w:rPr>
        <w:rFonts w:eastAsia="Liberation Serif"/>
        <w:color w:val="000000"/>
        <w:sz w:val="24"/>
        <w:szCs w:val="24"/>
      </w:rPr>
      <w:fldChar w:fldCharType="begin"/>
    </w:r>
    <w:r w:rsidR="009137B5" w:rsidRPr="007F5BE9">
      <w:rPr>
        <w:rFonts w:eastAsia="Liberation Serif"/>
        <w:color w:val="000000"/>
        <w:sz w:val="24"/>
        <w:szCs w:val="24"/>
      </w:rPr>
      <w:instrText>PAGE</w:instrText>
    </w:r>
    <w:r w:rsidRPr="007F5BE9">
      <w:rPr>
        <w:rFonts w:eastAsia="Liberation Serif"/>
        <w:color w:val="000000"/>
        <w:sz w:val="24"/>
        <w:szCs w:val="24"/>
      </w:rPr>
      <w:fldChar w:fldCharType="separate"/>
    </w:r>
    <w:r w:rsidR="006C1663">
      <w:rPr>
        <w:rFonts w:eastAsia="Liberation Serif"/>
        <w:noProof/>
        <w:color w:val="000000"/>
        <w:sz w:val="24"/>
        <w:szCs w:val="24"/>
      </w:rPr>
      <w:t>2</w:t>
    </w:r>
    <w:r w:rsidRPr="007F5BE9">
      <w:rPr>
        <w:rFonts w:eastAsia="Liberation Serif"/>
        <w:color w:val="000000"/>
        <w:sz w:val="24"/>
        <w:szCs w:val="24"/>
      </w:rPr>
      <w:fldChar w:fldCharType="end"/>
    </w:r>
  </w:p>
  <w:p w:rsidR="006D1991" w:rsidRDefault="006D1991">
    <w:pPr>
      <w:pBdr>
        <w:top w:val="nil"/>
        <w:left w:val="nil"/>
        <w:bottom w:val="nil"/>
        <w:right w:val="nil"/>
        <w:between w:val="nil"/>
      </w:pBdr>
      <w:spacing w:line="360" w:lineRule="auto"/>
      <w:rPr>
        <w:rFonts w:ascii="Liberation Serif" w:eastAsia="Liberation Serif" w:hAnsi="Liberation Serif" w:cs="Liberation Serif"/>
        <w:color w:val="00000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63697"/>
    <w:multiLevelType w:val="multilevel"/>
    <w:tmpl w:val="1592C752"/>
    <w:lvl w:ilvl="0">
      <w:start w:val="1"/>
      <w:numFmt w:val="decimal"/>
      <w:lvlText w:val="%1."/>
      <w:lvlJc w:val="left"/>
      <w:pPr>
        <w:ind w:left="191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7E1F3212"/>
    <w:multiLevelType w:val="multilevel"/>
    <w:tmpl w:val="B51466D8"/>
    <w:lvl w:ilvl="0">
      <w:start w:val="3"/>
      <w:numFmt w:val="decimal"/>
      <w:lvlText w:val="%1."/>
      <w:lvlJc w:val="left"/>
      <w:pPr>
        <w:ind w:left="1260" w:hanging="36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1991"/>
    <w:rsid w:val="00016BCA"/>
    <w:rsid w:val="0006091C"/>
    <w:rsid w:val="000D4F42"/>
    <w:rsid w:val="000E11AC"/>
    <w:rsid w:val="00122CB7"/>
    <w:rsid w:val="001958C7"/>
    <w:rsid w:val="001A7D32"/>
    <w:rsid w:val="001C290E"/>
    <w:rsid w:val="001E35F0"/>
    <w:rsid w:val="00224D7D"/>
    <w:rsid w:val="00235BE8"/>
    <w:rsid w:val="00322D99"/>
    <w:rsid w:val="003322BC"/>
    <w:rsid w:val="00343A87"/>
    <w:rsid w:val="0042426E"/>
    <w:rsid w:val="004638FD"/>
    <w:rsid w:val="004D1D81"/>
    <w:rsid w:val="00560024"/>
    <w:rsid w:val="00562F4E"/>
    <w:rsid w:val="00635163"/>
    <w:rsid w:val="00660489"/>
    <w:rsid w:val="006C1663"/>
    <w:rsid w:val="006C46E7"/>
    <w:rsid w:val="006D1991"/>
    <w:rsid w:val="006F2405"/>
    <w:rsid w:val="00745D68"/>
    <w:rsid w:val="00750337"/>
    <w:rsid w:val="007A3074"/>
    <w:rsid w:val="007E2233"/>
    <w:rsid w:val="007E7F42"/>
    <w:rsid w:val="007F5BE9"/>
    <w:rsid w:val="008019B7"/>
    <w:rsid w:val="00815BC8"/>
    <w:rsid w:val="009137B5"/>
    <w:rsid w:val="00923093"/>
    <w:rsid w:val="00966683"/>
    <w:rsid w:val="009D5BC5"/>
    <w:rsid w:val="00A016F2"/>
    <w:rsid w:val="00B225EF"/>
    <w:rsid w:val="00B23364"/>
    <w:rsid w:val="00B509A7"/>
    <w:rsid w:val="00B65ED1"/>
    <w:rsid w:val="00B71689"/>
    <w:rsid w:val="00C54DA3"/>
    <w:rsid w:val="00C76E51"/>
    <w:rsid w:val="00D4535E"/>
    <w:rsid w:val="00D56564"/>
    <w:rsid w:val="00E1633C"/>
    <w:rsid w:val="00EE2657"/>
    <w:rsid w:val="00F168E1"/>
    <w:rsid w:val="00F77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1991"/>
  </w:style>
  <w:style w:type="paragraph" w:styleId="1">
    <w:name w:val="heading 1"/>
    <w:basedOn w:val="a"/>
    <w:next w:val="a"/>
    <w:rsid w:val="006D199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6D199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6D199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6D199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6D199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6D1991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6D1991"/>
  </w:style>
  <w:style w:type="table" w:customStyle="1" w:styleId="TableNormal">
    <w:name w:val="Table Normal"/>
    <w:rsid w:val="006D199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D199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D199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10"/>
    <w:next w:val="10"/>
    <w:rsid w:val="006D199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7F5BE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5BE9"/>
  </w:style>
  <w:style w:type="paragraph" w:styleId="a7">
    <w:name w:val="footer"/>
    <w:basedOn w:val="a"/>
    <w:link w:val="a8"/>
    <w:uiPriority w:val="99"/>
    <w:unhideWhenUsed/>
    <w:rsid w:val="007F5BE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5BE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wRDdnOzCMGpJualuAy22Ck6mfA==">AMUW2mVqFX9rI8XepZeHBXNhqyUgN+ca2cQprdsckKteU4uVnm4OEP36GUfqqELrlkQzIgmrIEa/Zw3e6x+kmyXphwiBXGucLq/yC1m2IfMQqd6ES1yJan5NCn4kagVqA9KG3HLR+YZx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1564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2023-12-20T16:02:00Z</dcterms:created>
  <dcterms:modified xsi:type="dcterms:W3CDTF">2023-12-20T16:02:00Z</dcterms:modified>
</cp:coreProperties>
</file>